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7546" w14:textId="77777777" w:rsidR="005F23E1" w:rsidRDefault="005F23E1">
      <w:pPr>
        <w:widowControl w:val="0"/>
        <w:pBdr>
          <w:top w:val="nil"/>
          <w:left w:val="nil"/>
          <w:bottom w:val="nil"/>
          <w:right w:val="nil"/>
          <w:between w:val="nil"/>
        </w:pBdr>
        <w:spacing w:before="0" w:after="0"/>
      </w:pPr>
    </w:p>
    <w:p w14:paraId="3C17F8A3" w14:textId="77777777" w:rsidR="005F23E1" w:rsidRDefault="005F23E1">
      <w:pPr>
        <w:jc w:val="both"/>
        <w:rPr>
          <w:rFonts w:ascii="Garamond" w:eastAsia="Garamond" w:hAnsi="Garamond" w:cs="Garamond"/>
          <w:b/>
          <w:sz w:val="32"/>
          <w:szCs w:val="32"/>
        </w:rPr>
      </w:pPr>
    </w:p>
    <w:p w14:paraId="7EAA68DE" w14:textId="77777777" w:rsidR="007608D4" w:rsidRDefault="007608D4">
      <w:pPr>
        <w:spacing w:before="200" w:after="0" w:line="240" w:lineRule="auto"/>
        <w:jc w:val="both"/>
        <w:rPr>
          <w:rFonts w:ascii="Garamond" w:eastAsia="Garamond" w:hAnsi="Garamond" w:cs="Garamond"/>
          <w:b/>
          <w:color w:val="000000"/>
          <w:sz w:val="38"/>
          <w:szCs w:val="38"/>
        </w:rPr>
      </w:pPr>
      <w:bookmarkStart w:id="0" w:name="_heading=h.gjdgxs" w:colFirst="0" w:colLast="0"/>
      <w:bookmarkEnd w:id="0"/>
    </w:p>
    <w:p w14:paraId="2209F11E" w14:textId="77777777" w:rsidR="00BE3AAE" w:rsidRPr="00BE3AAE" w:rsidRDefault="00BE3AAE">
      <w:pPr>
        <w:spacing w:before="200" w:after="0" w:line="240" w:lineRule="auto"/>
        <w:jc w:val="both"/>
        <w:rPr>
          <w:rFonts w:ascii="Garamond" w:eastAsia="Garamond" w:hAnsi="Garamond" w:cs="Garamond"/>
          <w:b/>
          <w:color w:val="000000"/>
          <w:sz w:val="40"/>
          <w:szCs w:val="40"/>
          <w:lang w:val="en-ID"/>
        </w:rPr>
      </w:pPr>
    </w:p>
    <w:p w14:paraId="6A85FCD0" w14:textId="0B82552A" w:rsidR="005F23E1" w:rsidRDefault="007608D4">
      <w:pPr>
        <w:spacing w:before="200" w:after="0" w:line="240" w:lineRule="auto"/>
        <w:jc w:val="both"/>
        <w:rPr>
          <w:rFonts w:ascii="Garamond" w:eastAsia="Garamond" w:hAnsi="Garamond" w:cs="Garamond"/>
          <w:b/>
          <w:color w:val="000000"/>
          <w:sz w:val="38"/>
          <w:szCs w:val="38"/>
        </w:rPr>
      </w:pPr>
      <w:r>
        <w:rPr>
          <w:rFonts w:ascii="Garamond" w:eastAsia="Garamond" w:hAnsi="Garamond" w:cs="Garamond"/>
          <w:b/>
          <w:color w:val="000000"/>
          <w:sz w:val="40"/>
          <w:szCs w:val="40"/>
        </w:rPr>
        <w:t>Predictive AI E-Government Communications: A Framework for Enhancing Citizen Adoption and Public Trus [Garamond, 20, Bold]</w:t>
      </w:r>
    </w:p>
    <w:p w14:paraId="3140B49E" w14:textId="77777777" w:rsidR="005F23E1" w:rsidRDefault="005F23E1">
      <w:pPr>
        <w:spacing w:after="0" w:line="240" w:lineRule="auto"/>
        <w:ind w:right="193"/>
        <w:rPr>
          <w:rFonts w:ascii="Cambria" w:eastAsia="Cambria" w:hAnsi="Cambria" w:cs="Cambria"/>
          <w:color w:val="000000"/>
          <w:sz w:val="16"/>
          <w:szCs w:val="16"/>
          <w:vertAlign w:val="superscript"/>
        </w:rPr>
      </w:pPr>
    </w:p>
    <w:p w14:paraId="1A5DF14F" w14:textId="77777777" w:rsidR="005F23E1" w:rsidRPr="00A26336" w:rsidRDefault="007608D4" w:rsidP="00BE3AAE">
      <w:pPr>
        <w:pStyle w:val="Heading1"/>
        <w:pBdr>
          <w:top w:val="single" w:sz="4" w:space="1" w:color="CCECFF"/>
          <w:left w:val="single" w:sz="4" w:space="4" w:color="CCECFF"/>
          <w:bottom w:val="single" w:sz="4" w:space="1" w:color="CCECFF"/>
          <w:right w:val="single" w:sz="4" w:space="4" w:color="CCECFF"/>
          <w:between w:val="single" w:sz="4" w:space="1" w:color="CCECFF"/>
          <w:bar w:val="single" w:sz="4" w:color="CCECFF"/>
        </w:pBdr>
        <w:shd w:val="clear" w:color="auto" w:fill="CCECFF"/>
        <w:tabs>
          <w:tab w:val="left" w:pos="810"/>
        </w:tabs>
        <w:spacing w:before="0" w:line="240" w:lineRule="auto"/>
        <w:rPr>
          <w:rFonts w:ascii="Garamond" w:eastAsia="Garamond" w:hAnsi="Garamond" w:cs="Garamond"/>
          <w:b/>
          <w:color w:val="auto"/>
          <w:sz w:val="26"/>
          <w:szCs w:val="26"/>
          <w:vertAlign w:val="superscript"/>
        </w:rPr>
      </w:pPr>
      <w:bookmarkStart w:id="1" w:name="_heading=h.30j0zll" w:colFirst="0" w:colLast="0"/>
      <w:bookmarkEnd w:id="1"/>
      <w:r w:rsidRPr="00A26336">
        <w:rPr>
          <w:rFonts w:ascii="Garamond" w:eastAsia="Garamond" w:hAnsi="Garamond" w:cs="Garamond"/>
          <w:b/>
          <w:caps w:val="0"/>
          <w:color w:val="auto"/>
          <w:sz w:val="26"/>
          <w:szCs w:val="26"/>
        </w:rPr>
        <w:t>Dodi Ilham</w:t>
      </w:r>
      <w:r w:rsidRPr="00A26336">
        <w:rPr>
          <w:rFonts w:ascii="Garamond" w:eastAsia="Garamond" w:hAnsi="Garamond" w:cs="Garamond"/>
          <w:b/>
          <w:caps w:val="0"/>
          <w:color w:val="auto"/>
          <w:sz w:val="26"/>
          <w:szCs w:val="26"/>
          <w:vertAlign w:val="superscript"/>
        </w:rPr>
        <w:t xml:space="preserve"> 1</w:t>
      </w:r>
      <w:r w:rsidRPr="00A26336">
        <w:rPr>
          <w:rFonts w:ascii="Garamond" w:eastAsia="Garamond" w:hAnsi="Garamond" w:cs="Garamond"/>
          <w:b/>
          <w:caps w:val="0"/>
          <w:color w:val="auto"/>
          <w:sz w:val="26"/>
          <w:szCs w:val="26"/>
        </w:rPr>
        <w:t>, Denok Sunarsi</w:t>
      </w:r>
      <w:r w:rsidRPr="00A26336">
        <w:rPr>
          <w:rFonts w:ascii="Garamond" w:eastAsia="Garamond" w:hAnsi="Garamond" w:cs="Garamond"/>
          <w:b/>
          <w:caps w:val="0"/>
          <w:color w:val="auto"/>
          <w:sz w:val="26"/>
          <w:szCs w:val="26"/>
          <w:vertAlign w:val="superscript"/>
        </w:rPr>
        <w:t>2</w:t>
      </w:r>
      <w:r w:rsidRPr="00A26336">
        <w:rPr>
          <w:rFonts w:ascii="Garamond" w:eastAsia="Garamond" w:hAnsi="Garamond" w:cs="Garamond"/>
          <w:b/>
          <w:caps w:val="0"/>
          <w:color w:val="auto"/>
          <w:sz w:val="26"/>
          <w:szCs w:val="26"/>
        </w:rPr>
        <w:t>,</w:t>
      </w:r>
      <w:r w:rsidRPr="00A26336">
        <w:rPr>
          <w:caps w:val="0"/>
          <w:color w:val="auto"/>
          <w:sz w:val="16"/>
          <w:szCs w:val="16"/>
        </w:rPr>
        <w:t xml:space="preserve"> </w:t>
      </w:r>
      <w:r w:rsidRPr="00A26336">
        <w:rPr>
          <w:rFonts w:ascii="Garamond" w:eastAsia="Garamond" w:hAnsi="Garamond" w:cs="Garamond"/>
          <w:b/>
          <w:caps w:val="0"/>
          <w:color w:val="auto"/>
          <w:sz w:val="26"/>
          <w:szCs w:val="26"/>
        </w:rPr>
        <w:t>Ilham Bakhtiar</w:t>
      </w:r>
      <w:r w:rsidRPr="00A26336">
        <w:rPr>
          <w:rFonts w:ascii="Garamond" w:eastAsia="Garamond" w:hAnsi="Garamond" w:cs="Garamond"/>
          <w:b/>
          <w:caps w:val="0"/>
          <w:color w:val="auto"/>
          <w:sz w:val="26"/>
          <w:szCs w:val="26"/>
          <w:vertAlign w:val="superscript"/>
        </w:rPr>
        <w:t>3</w:t>
      </w:r>
      <w:r w:rsidRPr="00A26336">
        <w:rPr>
          <w:rFonts w:ascii="Garamond" w:eastAsia="Garamond" w:hAnsi="Garamond" w:cs="Garamond"/>
          <w:b/>
          <w:caps w:val="0"/>
          <w:color w:val="auto"/>
          <w:sz w:val="26"/>
          <w:szCs w:val="26"/>
        </w:rPr>
        <w:t xml:space="preserve"> </w:t>
      </w:r>
      <w:r w:rsidRPr="00A26336">
        <w:rPr>
          <w:rFonts w:ascii="Garamond" w:eastAsia="Garamond" w:hAnsi="Garamond" w:cs="Garamond"/>
          <w:b/>
          <w:caps w:val="0"/>
          <w:color w:val="auto"/>
          <w:sz w:val="26"/>
          <w:szCs w:val="26"/>
          <w:vertAlign w:val="superscript"/>
        </w:rPr>
        <w:t xml:space="preserve"> </w:t>
      </w:r>
    </w:p>
    <w:p w14:paraId="20FF2A5C" w14:textId="77777777" w:rsidR="005F23E1" w:rsidRDefault="00EB770E">
      <w:pPr>
        <w:spacing w:after="0" w:line="240" w:lineRule="auto"/>
        <w:ind w:right="193"/>
        <w:rPr>
          <w:rFonts w:ascii="Garamond" w:eastAsia="Garamond" w:hAnsi="Garamond" w:cs="Garamond"/>
          <w:color w:val="000000"/>
        </w:rPr>
      </w:pPr>
      <w:bookmarkStart w:id="2" w:name="_heading=h.1fob9te" w:colFirst="0" w:colLast="0"/>
      <w:bookmarkEnd w:id="2"/>
      <w:r>
        <w:rPr>
          <w:rFonts w:ascii="Garamond" w:eastAsia="Garamond" w:hAnsi="Garamond" w:cs="Garamond"/>
          <w:color w:val="000000"/>
          <w:vertAlign w:val="superscript"/>
        </w:rPr>
        <w:t>1</w:t>
      </w:r>
      <w:r w:rsidR="007608D4">
        <w:rPr>
          <w:rFonts w:ascii="Garamond" w:eastAsia="Garamond" w:hAnsi="Garamond" w:cs="Garamond"/>
          <w:color w:val="000000"/>
        </w:rPr>
        <w:t>Universitas Islam Negeri Palopo</w:t>
      </w:r>
      <w:r>
        <w:rPr>
          <w:rFonts w:ascii="Garamond" w:eastAsia="Garamond" w:hAnsi="Garamond" w:cs="Garamond"/>
          <w:color w:val="000000"/>
        </w:rPr>
        <w:t>, Indonesia</w:t>
      </w:r>
    </w:p>
    <w:p w14:paraId="7808C9E9" w14:textId="77777777" w:rsidR="005F23E1" w:rsidRDefault="00EB770E">
      <w:pPr>
        <w:spacing w:after="0" w:line="240" w:lineRule="auto"/>
        <w:ind w:right="193"/>
        <w:rPr>
          <w:rFonts w:ascii="Garamond" w:eastAsia="Garamond" w:hAnsi="Garamond" w:cs="Garamond"/>
          <w:color w:val="000000"/>
        </w:rPr>
      </w:pPr>
      <w:bookmarkStart w:id="3" w:name="_heading=h.3znysh7" w:colFirst="0" w:colLast="0"/>
      <w:bookmarkEnd w:id="3"/>
      <w:r>
        <w:rPr>
          <w:rFonts w:ascii="Garamond" w:eastAsia="Garamond" w:hAnsi="Garamond" w:cs="Garamond"/>
          <w:color w:val="000000"/>
          <w:vertAlign w:val="superscript"/>
        </w:rPr>
        <w:t>2</w:t>
      </w:r>
      <w:r>
        <w:rPr>
          <w:rFonts w:ascii="Garamond" w:eastAsia="Garamond" w:hAnsi="Garamond" w:cs="Garamond"/>
          <w:color w:val="000000"/>
        </w:rPr>
        <w:t>University of Derna, Libya</w:t>
      </w:r>
    </w:p>
    <w:p w14:paraId="0436DC38" w14:textId="77777777" w:rsidR="005F23E1" w:rsidRDefault="00EB770E">
      <w:pPr>
        <w:spacing w:after="0" w:line="240" w:lineRule="auto"/>
        <w:ind w:right="193"/>
        <w:rPr>
          <w:rFonts w:ascii="Garamond" w:eastAsia="Garamond" w:hAnsi="Garamond" w:cs="Garamond"/>
        </w:rPr>
      </w:pPr>
      <w:bookmarkStart w:id="4" w:name="_heading=h.2et92p0" w:colFirst="0" w:colLast="0"/>
      <w:bookmarkEnd w:id="4"/>
      <w:r>
        <w:rPr>
          <w:rFonts w:ascii="Garamond" w:eastAsia="Garamond" w:hAnsi="Garamond" w:cs="Garamond"/>
          <w:color w:val="000000"/>
          <w:vertAlign w:val="superscript"/>
        </w:rPr>
        <w:t>3</w:t>
      </w:r>
      <w:r>
        <w:rPr>
          <w:rFonts w:ascii="Garamond" w:eastAsia="Garamond" w:hAnsi="Garamond" w:cs="Garamond"/>
          <w:color w:val="000000"/>
        </w:rPr>
        <w:t>Universiti of Malaya, Malaysia</w:t>
      </w:r>
    </w:p>
    <w:p w14:paraId="47AB0B76" w14:textId="77777777" w:rsidR="005F23E1" w:rsidRDefault="00EB770E">
      <w:pPr>
        <w:spacing w:after="0" w:line="240" w:lineRule="auto"/>
        <w:rPr>
          <w:rFonts w:ascii="Cambria" w:eastAsia="Cambria" w:hAnsi="Cambria" w:cs="Cambria"/>
          <w:color w:val="000000"/>
          <w:sz w:val="24"/>
          <w:szCs w:val="24"/>
        </w:rPr>
      </w:pPr>
      <w:r>
        <w:rPr>
          <w:noProof/>
        </w:rPr>
        <mc:AlternateContent>
          <mc:Choice Requires="wps">
            <w:drawing>
              <wp:anchor distT="45720" distB="45720" distL="114300" distR="114300" simplePos="0" relativeHeight="251658240" behindDoc="0" locked="0" layoutInCell="1" hidden="0" allowOverlap="1" wp14:anchorId="4A998F0B" wp14:editId="14F4E842">
                <wp:simplePos x="0" y="0"/>
                <wp:positionH relativeFrom="column">
                  <wp:posOffset>12701</wp:posOffset>
                </wp:positionH>
                <wp:positionV relativeFrom="paragraph">
                  <wp:posOffset>236220</wp:posOffset>
                </wp:positionV>
                <wp:extent cx="1333500" cy="3905885"/>
                <wp:effectExtent l="0" t="0" r="0" b="0"/>
                <wp:wrapSquare wrapText="bothSides" distT="45720" distB="45720" distL="114300" distR="114300"/>
                <wp:docPr id="455" name="Rectangle 455"/>
                <wp:cNvGraphicFramePr/>
                <a:graphic xmlns:a="http://schemas.openxmlformats.org/drawingml/2006/main">
                  <a:graphicData uri="http://schemas.microsoft.com/office/word/2010/wordprocessingShape">
                    <wps:wsp>
                      <wps:cNvSpPr/>
                      <wps:spPr>
                        <a:xfrm>
                          <a:off x="0" y="0"/>
                          <a:ext cx="1333500" cy="3905885"/>
                        </a:xfrm>
                        <a:prstGeom prst="rect">
                          <a:avLst/>
                        </a:prstGeom>
                        <a:solidFill>
                          <a:srgbClr val="FCECD3"/>
                        </a:solidFill>
                        <a:ln>
                          <a:noFill/>
                        </a:ln>
                      </wps:spPr>
                      <wps:txbx>
                        <w:txbxContent>
                          <w:p w14:paraId="6AE02134" w14:textId="77777777" w:rsidR="005F23E1" w:rsidRPr="00A26336" w:rsidRDefault="00EB770E" w:rsidP="00BE3AAE">
                            <w:pPr>
                              <w:shd w:val="clear" w:color="auto" w:fill="CCECFF"/>
                              <w:spacing w:before="0" w:after="0" w:line="240" w:lineRule="auto"/>
                              <w:jc w:val="center"/>
                              <w:textDirection w:val="btLr"/>
                              <w:rPr>
                                <w:b/>
                                <w:bCs/>
                              </w:rPr>
                            </w:pPr>
                            <w:r w:rsidRPr="00A26336">
                              <w:rPr>
                                <w:rFonts w:ascii="Garamond" w:eastAsia="Garamond" w:hAnsi="Garamond" w:cs="Garamond"/>
                                <w:b/>
                                <w:bCs/>
                                <w:smallCaps/>
                                <w:sz w:val="18"/>
                              </w:rPr>
                              <w:t>A R T I C L E   I N F O</w:t>
                            </w:r>
                          </w:p>
                          <w:p w14:paraId="3366AAB9" w14:textId="77777777" w:rsidR="005F23E1" w:rsidRDefault="005F23E1" w:rsidP="00BE3AAE">
                            <w:pPr>
                              <w:shd w:val="clear" w:color="auto" w:fill="CCECFF"/>
                              <w:spacing w:after="0" w:line="275" w:lineRule="auto"/>
                              <w:textDirection w:val="btLr"/>
                            </w:pPr>
                          </w:p>
                          <w:p w14:paraId="04B0452A" w14:textId="77777777" w:rsidR="005F23E1" w:rsidRDefault="00EB770E" w:rsidP="00BE3AAE">
                            <w:pPr>
                              <w:shd w:val="clear" w:color="auto" w:fill="CCECFF"/>
                              <w:spacing w:before="0" w:after="0" w:line="275" w:lineRule="auto"/>
                              <w:textDirection w:val="btLr"/>
                            </w:pPr>
                            <w:r>
                              <w:rPr>
                                <w:rFonts w:ascii="Garamond" w:eastAsia="Garamond" w:hAnsi="Garamond" w:cs="Garamond"/>
                                <w:b/>
                                <w:i/>
                                <w:color w:val="000000"/>
                                <w:sz w:val="16"/>
                              </w:rPr>
                              <w:t>Article history:</w:t>
                            </w:r>
                          </w:p>
                          <w:p w14:paraId="795A1A72"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Received</w:t>
                            </w:r>
                            <w:r>
                              <w:rPr>
                                <w:rFonts w:ascii="Garamond" w:eastAsia="Garamond" w:hAnsi="Garamond" w:cs="Garamond"/>
                                <w:color w:val="000000"/>
                              </w:rPr>
                              <w:t xml:space="preserve"> </w:t>
                            </w:r>
                            <w:r>
                              <w:rPr>
                                <w:rFonts w:ascii="Garamond" w:eastAsia="Garamond" w:hAnsi="Garamond" w:cs="Garamond"/>
                                <w:color w:val="000000"/>
                                <w:sz w:val="16"/>
                              </w:rPr>
                              <w:t>March 19, 202</w:t>
                            </w:r>
                            <w:r w:rsidR="007608D4">
                              <w:rPr>
                                <w:rFonts w:ascii="Garamond" w:eastAsia="Garamond" w:hAnsi="Garamond" w:cs="Garamond"/>
                                <w:color w:val="000000"/>
                                <w:sz w:val="16"/>
                              </w:rPr>
                              <w:t>6</w:t>
                            </w:r>
                          </w:p>
                          <w:p w14:paraId="10B57E7A"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Revised April 03, 202</w:t>
                            </w:r>
                            <w:r w:rsidR="007608D4">
                              <w:rPr>
                                <w:rFonts w:ascii="Garamond" w:eastAsia="Garamond" w:hAnsi="Garamond" w:cs="Garamond"/>
                                <w:color w:val="000000"/>
                                <w:sz w:val="16"/>
                              </w:rPr>
                              <w:t>6</w:t>
                            </w:r>
                          </w:p>
                          <w:p w14:paraId="1DC1D9E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Accepted May 01, 202</w:t>
                            </w:r>
                            <w:r w:rsidR="007608D4">
                              <w:rPr>
                                <w:rFonts w:ascii="Garamond" w:eastAsia="Garamond" w:hAnsi="Garamond" w:cs="Garamond"/>
                                <w:color w:val="000000"/>
                                <w:sz w:val="16"/>
                              </w:rPr>
                              <w:t>6</w:t>
                            </w:r>
                          </w:p>
                          <w:p w14:paraId="30D21724"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Available online May 25, 202</w:t>
                            </w:r>
                            <w:r w:rsidR="007608D4">
                              <w:rPr>
                                <w:rFonts w:ascii="Garamond" w:eastAsia="Garamond" w:hAnsi="Garamond" w:cs="Garamond"/>
                                <w:color w:val="000000"/>
                                <w:sz w:val="16"/>
                              </w:rPr>
                              <w:t>6</w:t>
                            </w:r>
                          </w:p>
                          <w:p w14:paraId="06CE82D8" w14:textId="77777777" w:rsidR="005F23E1" w:rsidRDefault="005F23E1" w:rsidP="00BE3AAE">
                            <w:pPr>
                              <w:shd w:val="clear" w:color="auto" w:fill="CCECFF"/>
                              <w:spacing w:before="0" w:after="0" w:line="275" w:lineRule="auto"/>
                              <w:textDirection w:val="btLr"/>
                            </w:pPr>
                          </w:p>
                          <w:p w14:paraId="3B7E45E0" w14:textId="77777777" w:rsidR="005F23E1" w:rsidRDefault="005F23E1" w:rsidP="00BE3AAE">
                            <w:pPr>
                              <w:shd w:val="clear" w:color="auto" w:fill="CCECFF"/>
                              <w:spacing w:before="0" w:after="0" w:line="275" w:lineRule="auto"/>
                              <w:textDirection w:val="btLr"/>
                            </w:pPr>
                          </w:p>
                          <w:p w14:paraId="764B7F0F" w14:textId="77777777" w:rsidR="005F23E1" w:rsidRDefault="00EB770E" w:rsidP="00BE3AAE">
                            <w:pPr>
                              <w:shd w:val="clear" w:color="auto" w:fill="CCECFF"/>
                              <w:spacing w:before="0" w:after="0" w:line="275" w:lineRule="auto"/>
                              <w:textDirection w:val="btLr"/>
                            </w:pPr>
                            <w:r>
                              <w:rPr>
                                <w:rFonts w:ascii="Garamond" w:eastAsia="Garamond" w:hAnsi="Garamond" w:cs="Garamond"/>
                                <w:b/>
                                <w:color w:val="000000"/>
                                <w:sz w:val="16"/>
                              </w:rPr>
                              <w:t>Keywords:</w:t>
                            </w:r>
                          </w:p>
                          <w:p w14:paraId="495656B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Please Provide 3-5 Words Of Keywords Separated By Comas</w:t>
                            </w:r>
                          </w:p>
                          <w:p w14:paraId="104A66E8" w14:textId="77777777" w:rsidR="005F23E1" w:rsidRDefault="005F23E1" w:rsidP="00BE3AAE">
                            <w:pPr>
                              <w:shd w:val="clear" w:color="auto" w:fill="CCECFF"/>
                              <w:spacing w:before="0" w:after="0" w:line="275" w:lineRule="auto"/>
                              <w:textDirection w:val="btLr"/>
                            </w:pPr>
                          </w:p>
                          <w:p w14:paraId="115A8862" w14:textId="77777777" w:rsidR="007608D4" w:rsidRDefault="00EB770E" w:rsidP="00BE3AAE">
                            <w:pPr>
                              <w:shd w:val="clear" w:color="auto" w:fill="CCECFF"/>
                              <w:spacing w:before="0" w:after="0" w:line="240" w:lineRule="auto"/>
                              <w:jc w:val="both"/>
                              <w:textDirection w:val="btLr"/>
                              <w:rPr>
                                <w:rFonts w:ascii="Garamond" w:eastAsia="Garamond" w:hAnsi="Garamond" w:cs="Garamond"/>
                                <w:color w:val="000000"/>
                                <w:sz w:val="16"/>
                              </w:rPr>
                            </w:pPr>
                            <w:r>
                              <w:rPr>
                                <w:rFonts w:ascii="Garamond" w:eastAsia="Garamond" w:hAnsi="Garamond" w:cs="Garamond"/>
                                <w:color w:val="000000"/>
                                <w:sz w:val="16"/>
                              </w:rPr>
                              <w:t xml:space="preserve">*Corresponding author: </w:t>
                            </w:r>
                          </w:p>
                          <w:p w14:paraId="592ED09F" w14:textId="77777777" w:rsidR="005F23E1" w:rsidRDefault="007608D4" w:rsidP="00BE3AAE">
                            <w:pPr>
                              <w:shd w:val="clear" w:color="auto" w:fill="CCECFF"/>
                              <w:spacing w:before="0" w:after="0" w:line="240" w:lineRule="auto"/>
                              <w:jc w:val="both"/>
                              <w:textDirection w:val="btLr"/>
                            </w:pPr>
                            <w:r>
                              <w:rPr>
                                <w:rFonts w:ascii="Garamond" w:eastAsia="Garamond" w:hAnsi="Garamond" w:cs="Garamond"/>
                                <w:color w:val="000000"/>
                                <w:sz w:val="16"/>
                              </w:rPr>
                              <w:t>Dodi Ilham</w:t>
                            </w:r>
                          </w:p>
                          <w:p w14:paraId="7406465D" w14:textId="77777777" w:rsidR="005F23E1" w:rsidRDefault="007608D4" w:rsidP="00BE3AAE">
                            <w:pPr>
                              <w:shd w:val="clear" w:color="auto" w:fill="CCECFF"/>
                              <w:spacing w:before="0" w:after="0" w:line="240" w:lineRule="auto"/>
                              <w:jc w:val="both"/>
                              <w:textDirection w:val="btLr"/>
                            </w:pPr>
                            <w:r>
                              <w:rPr>
                                <w:rFonts w:ascii="Garamond" w:eastAsia="Garamond" w:hAnsi="Garamond" w:cs="Garamond"/>
                                <w:color w:val="000000"/>
                                <w:sz w:val="16"/>
                              </w:rPr>
                              <w:t>Univesitas Islam Negeri Palopo, Indonesia</w:t>
                            </w:r>
                          </w:p>
                          <w:p w14:paraId="2FC65F7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 xml:space="preserve">email: </w:t>
                            </w:r>
                            <w:r w:rsidR="007608D4" w:rsidRPr="00BE3AAE">
                              <w:rPr>
                                <w:rFonts w:ascii="Garamond" w:eastAsia="Garamond" w:hAnsi="Garamond" w:cs="Garamond"/>
                                <w:i/>
                                <w:color w:val="0066FF"/>
                                <w:sz w:val="16"/>
                                <w:u w:val="single"/>
                              </w:rPr>
                              <w:t>dodililham</w:t>
                            </w:r>
                            <w:r w:rsidRPr="00BE3AAE">
                              <w:rPr>
                                <w:rFonts w:ascii="Garamond" w:eastAsia="Garamond" w:hAnsi="Garamond" w:cs="Garamond"/>
                                <w:i/>
                                <w:color w:val="0066FF"/>
                                <w:sz w:val="16"/>
                                <w:u w:val="single"/>
                              </w:rPr>
                              <w:t>@</w:t>
                            </w:r>
                            <w:r w:rsidR="007608D4" w:rsidRPr="00BE3AAE">
                              <w:rPr>
                                <w:rFonts w:ascii="Garamond" w:eastAsia="Garamond" w:hAnsi="Garamond" w:cs="Garamond"/>
                                <w:i/>
                                <w:color w:val="0066FF"/>
                                <w:sz w:val="16"/>
                                <w:u w:val="single"/>
                              </w:rPr>
                              <w:t>uin.palopo</w:t>
                            </w:r>
                            <w:r w:rsidRPr="00BE3AAE">
                              <w:rPr>
                                <w:rFonts w:ascii="Garamond" w:eastAsia="Garamond" w:hAnsi="Garamond" w:cs="Garamond"/>
                                <w:i/>
                                <w:color w:val="0066FF"/>
                                <w:sz w:val="16"/>
                                <w:u w:val="single"/>
                              </w:rPr>
                              <w:t>.ac.id</w:t>
                            </w:r>
                            <w:r w:rsidRPr="00BE3AAE">
                              <w:rPr>
                                <w:rFonts w:ascii="Garamond" w:eastAsia="Garamond" w:hAnsi="Garamond" w:cs="Garamond"/>
                                <w:color w:val="0066FF"/>
                                <w:sz w:val="16"/>
                              </w:rPr>
                              <w:t xml:space="preserve"> </w:t>
                            </w:r>
                          </w:p>
                          <w:p w14:paraId="684A0211" w14:textId="77777777" w:rsidR="005F23E1" w:rsidRDefault="005F23E1" w:rsidP="00BE3AAE">
                            <w:pPr>
                              <w:shd w:val="clear" w:color="auto" w:fill="CCECFF"/>
                              <w:spacing w:before="0" w:after="0" w:line="275" w:lineRule="auto"/>
                              <w:textDirection w:val="btLr"/>
                            </w:pPr>
                          </w:p>
                          <w:p w14:paraId="7A3E4733"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 xml:space="preserve">Available online at: </w:t>
                            </w:r>
                            <w:r w:rsidRPr="00BE3AAE">
                              <w:rPr>
                                <w:rFonts w:ascii="Garamond" w:eastAsia="Garamond" w:hAnsi="Garamond" w:cs="Garamond"/>
                                <w:color w:val="0066FF"/>
                                <w:sz w:val="16"/>
                                <w:u w:val="single"/>
                              </w:rPr>
                              <w:t>https://doi.org/10.35905/banco.v3i2.2036</w:t>
                            </w:r>
                          </w:p>
                          <w:p w14:paraId="423E677D" w14:textId="77777777" w:rsidR="005F23E1" w:rsidRDefault="005F23E1" w:rsidP="00BE3AAE">
                            <w:pPr>
                              <w:shd w:val="clear" w:color="auto" w:fill="CCECFF"/>
                              <w:spacing w:before="0" w:after="0" w:line="275" w:lineRule="auto"/>
                              <w:textDirection w:val="btLr"/>
                            </w:pPr>
                          </w:p>
                          <w:p w14:paraId="6F14F8E7" w14:textId="77777777" w:rsidR="005F23E1" w:rsidRDefault="005F23E1" w:rsidP="00BE3AAE">
                            <w:pPr>
                              <w:shd w:val="clear" w:color="auto" w:fill="CCECFF"/>
                              <w:spacing w:before="0" w:line="275" w:lineRule="auto"/>
                              <w:textDirection w:val="btLr"/>
                            </w:pPr>
                          </w:p>
                        </w:txbxContent>
                      </wps:txbx>
                      <wps:bodyPr spcFirstLastPara="1" wrap="square" lIns="0" tIns="0" rIns="0" bIns="0" anchor="t" anchorCtr="0">
                        <a:noAutofit/>
                      </wps:bodyPr>
                    </wps:wsp>
                  </a:graphicData>
                </a:graphic>
              </wp:anchor>
            </w:drawing>
          </mc:Choice>
          <mc:Fallback>
            <w:pict>
              <v:rect w14:anchorId="4A998F0B" id="Rectangle 455" o:spid="_x0000_s1026" style="position:absolute;margin-left:1pt;margin-top:18.6pt;width:105pt;height:307.5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" fillcolor="#fcecd3" stroked="f">
                <v:textbox inset="0,0,0,0">
                  <w:txbxContent>
                    <w:p w14:paraId="6AE02134" w14:textId="77777777" w:rsidR="005F23E1" w:rsidRPr="00A26336" w:rsidRDefault="00EB770E" w:rsidP="00BE3AAE">
                      <w:pPr>
                        <w:shd w:val="clear" w:color="auto" w:fill="CCECFF"/>
                        <w:spacing w:before="0" w:after="0" w:line="240" w:lineRule="auto"/>
                        <w:jc w:val="center"/>
                        <w:textDirection w:val="btLr"/>
                        <w:rPr>
                          <w:b/>
                          <w:bCs/>
                        </w:rPr>
                      </w:pPr>
                      <w:r w:rsidRPr="00A26336">
                        <w:rPr>
                          <w:rFonts w:ascii="Garamond" w:eastAsia="Garamond" w:hAnsi="Garamond" w:cs="Garamond"/>
                          <w:b/>
                          <w:bCs/>
                          <w:smallCaps/>
                          <w:sz w:val="18"/>
                        </w:rPr>
                        <w:t>A R T I C L E   I N F O</w:t>
                      </w:r>
                    </w:p>
                    <w:p w14:paraId="3366AAB9" w14:textId="77777777" w:rsidR="005F23E1" w:rsidRDefault="005F23E1" w:rsidP="00BE3AAE">
                      <w:pPr>
                        <w:shd w:val="clear" w:color="auto" w:fill="CCECFF"/>
                        <w:spacing w:after="0" w:line="275" w:lineRule="auto"/>
                        <w:textDirection w:val="btLr"/>
                      </w:pPr>
                    </w:p>
                    <w:p w14:paraId="04B0452A" w14:textId="77777777" w:rsidR="005F23E1" w:rsidRDefault="00EB770E" w:rsidP="00BE3AAE">
                      <w:pPr>
                        <w:shd w:val="clear" w:color="auto" w:fill="CCECFF"/>
                        <w:spacing w:before="0" w:after="0" w:line="275" w:lineRule="auto"/>
                        <w:textDirection w:val="btLr"/>
                      </w:pPr>
                      <w:r>
                        <w:rPr>
                          <w:rFonts w:ascii="Garamond" w:eastAsia="Garamond" w:hAnsi="Garamond" w:cs="Garamond"/>
                          <w:b/>
                          <w:i/>
                          <w:color w:val="000000"/>
                          <w:sz w:val="16"/>
                        </w:rPr>
                        <w:t>Article history:</w:t>
                      </w:r>
                    </w:p>
                    <w:p w14:paraId="795A1A72"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Received</w:t>
                      </w:r>
                      <w:r>
                        <w:rPr>
                          <w:rFonts w:ascii="Garamond" w:eastAsia="Garamond" w:hAnsi="Garamond" w:cs="Garamond"/>
                          <w:color w:val="000000"/>
                        </w:rPr>
                        <w:t xml:space="preserve"> </w:t>
                      </w:r>
                      <w:r>
                        <w:rPr>
                          <w:rFonts w:ascii="Garamond" w:eastAsia="Garamond" w:hAnsi="Garamond" w:cs="Garamond"/>
                          <w:color w:val="000000"/>
                          <w:sz w:val="16"/>
                        </w:rPr>
                        <w:t>March 19, 202</w:t>
                      </w:r>
                      <w:r w:rsidR="007608D4">
                        <w:rPr>
                          <w:rFonts w:ascii="Garamond" w:eastAsia="Garamond" w:hAnsi="Garamond" w:cs="Garamond"/>
                          <w:color w:val="000000"/>
                          <w:sz w:val="16"/>
                        </w:rPr>
                        <w:t>6</w:t>
                      </w:r>
                    </w:p>
                    <w:p w14:paraId="10B57E7A"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Revised April 03, 202</w:t>
                      </w:r>
                      <w:r w:rsidR="007608D4">
                        <w:rPr>
                          <w:rFonts w:ascii="Garamond" w:eastAsia="Garamond" w:hAnsi="Garamond" w:cs="Garamond"/>
                          <w:color w:val="000000"/>
                          <w:sz w:val="16"/>
                        </w:rPr>
                        <w:t>6</w:t>
                      </w:r>
                    </w:p>
                    <w:p w14:paraId="1DC1D9E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Accepted May 01, 202</w:t>
                      </w:r>
                      <w:r w:rsidR="007608D4">
                        <w:rPr>
                          <w:rFonts w:ascii="Garamond" w:eastAsia="Garamond" w:hAnsi="Garamond" w:cs="Garamond"/>
                          <w:color w:val="000000"/>
                          <w:sz w:val="16"/>
                        </w:rPr>
                        <w:t>6</w:t>
                      </w:r>
                    </w:p>
                    <w:p w14:paraId="30D21724"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Available online May 25, 202</w:t>
                      </w:r>
                      <w:r w:rsidR="007608D4">
                        <w:rPr>
                          <w:rFonts w:ascii="Garamond" w:eastAsia="Garamond" w:hAnsi="Garamond" w:cs="Garamond"/>
                          <w:color w:val="000000"/>
                          <w:sz w:val="16"/>
                        </w:rPr>
                        <w:t>6</w:t>
                      </w:r>
                    </w:p>
                    <w:p w14:paraId="06CE82D8" w14:textId="77777777" w:rsidR="005F23E1" w:rsidRDefault="005F23E1" w:rsidP="00BE3AAE">
                      <w:pPr>
                        <w:shd w:val="clear" w:color="auto" w:fill="CCECFF"/>
                        <w:spacing w:before="0" w:after="0" w:line="275" w:lineRule="auto"/>
                        <w:textDirection w:val="btLr"/>
                      </w:pPr>
                    </w:p>
                    <w:p w14:paraId="3B7E45E0" w14:textId="77777777" w:rsidR="005F23E1" w:rsidRDefault="005F23E1" w:rsidP="00BE3AAE">
                      <w:pPr>
                        <w:shd w:val="clear" w:color="auto" w:fill="CCECFF"/>
                        <w:spacing w:before="0" w:after="0" w:line="275" w:lineRule="auto"/>
                        <w:textDirection w:val="btLr"/>
                      </w:pPr>
                    </w:p>
                    <w:p w14:paraId="764B7F0F" w14:textId="77777777" w:rsidR="005F23E1" w:rsidRDefault="00EB770E" w:rsidP="00BE3AAE">
                      <w:pPr>
                        <w:shd w:val="clear" w:color="auto" w:fill="CCECFF"/>
                        <w:spacing w:before="0" w:after="0" w:line="275" w:lineRule="auto"/>
                        <w:textDirection w:val="btLr"/>
                      </w:pPr>
                      <w:r>
                        <w:rPr>
                          <w:rFonts w:ascii="Garamond" w:eastAsia="Garamond" w:hAnsi="Garamond" w:cs="Garamond"/>
                          <w:b/>
                          <w:color w:val="000000"/>
                          <w:sz w:val="16"/>
                        </w:rPr>
                        <w:t>Keywords:</w:t>
                      </w:r>
                    </w:p>
                    <w:p w14:paraId="495656B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Please Provide 3-5 Words Of Keywords Separated By Comas</w:t>
                      </w:r>
                    </w:p>
                    <w:p w14:paraId="104A66E8" w14:textId="77777777" w:rsidR="005F23E1" w:rsidRDefault="005F23E1" w:rsidP="00BE3AAE">
                      <w:pPr>
                        <w:shd w:val="clear" w:color="auto" w:fill="CCECFF"/>
                        <w:spacing w:before="0" w:after="0" w:line="275" w:lineRule="auto"/>
                        <w:textDirection w:val="btLr"/>
                      </w:pPr>
                    </w:p>
                    <w:p w14:paraId="115A8862" w14:textId="77777777" w:rsidR="007608D4" w:rsidRDefault="00EB770E" w:rsidP="00BE3AAE">
                      <w:pPr>
                        <w:shd w:val="clear" w:color="auto" w:fill="CCECFF"/>
                        <w:spacing w:before="0" w:after="0" w:line="240" w:lineRule="auto"/>
                        <w:jc w:val="both"/>
                        <w:textDirection w:val="btLr"/>
                        <w:rPr>
                          <w:rFonts w:ascii="Garamond" w:eastAsia="Garamond" w:hAnsi="Garamond" w:cs="Garamond"/>
                          <w:color w:val="000000"/>
                          <w:sz w:val="16"/>
                        </w:rPr>
                      </w:pPr>
                      <w:r>
                        <w:rPr>
                          <w:rFonts w:ascii="Garamond" w:eastAsia="Garamond" w:hAnsi="Garamond" w:cs="Garamond"/>
                          <w:color w:val="000000"/>
                          <w:sz w:val="16"/>
                        </w:rPr>
                        <w:t xml:space="preserve">*Corresponding author: </w:t>
                      </w:r>
                    </w:p>
                    <w:p w14:paraId="592ED09F" w14:textId="77777777" w:rsidR="005F23E1" w:rsidRDefault="007608D4" w:rsidP="00BE3AAE">
                      <w:pPr>
                        <w:shd w:val="clear" w:color="auto" w:fill="CCECFF"/>
                        <w:spacing w:before="0" w:after="0" w:line="240" w:lineRule="auto"/>
                        <w:jc w:val="both"/>
                        <w:textDirection w:val="btLr"/>
                      </w:pPr>
                      <w:r>
                        <w:rPr>
                          <w:rFonts w:ascii="Garamond" w:eastAsia="Garamond" w:hAnsi="Garamond" w:cs="Garamond"/>
                          <w:color w:val="000000"/>
                          <w:sz w:val="16"/>
                        </w:rPr>
                        <w:t>Dodi Ilham</w:t>
                      </w:r>
                    </w:p>
                    <w:p w14:paraId="7406465D" w14:textId="77777777" w:rsidR="005F23E1" w:rsidRDefault="007608D4" w:rsidP="00BE3AAE">
                      <w:pPr>
                        <w:shd w:val="clear" w:color="auto" w:fill="CCECFF"/>
                        <w:spacing w:before="0" w:after="0" w:line="240" w:lineRule="auto"/>
                        <w:jc w:val="both"/>
                        <w:textDirection w:val="btLr"/>
                      </w:pPr>
                      <w:r>
                        <w:rPr>
                          <w:rFonts w:ascii="Garamond" w:eastAsia="Garamond" w:hAnsi="Garamond" w:cs="Garamond"/>
                          <w:color w:val="000000"/>
                          <w:sz w:val="16"/>
                        </w:rPr>
                        <w:t>Univesitas Islam Negeri Palopo, Indonesia</w:t>
                      </w:r>
                    </w:p>
                    <w:p w14:paraId="2FC65F7D"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 xml:space="preserve">email: </w:t>
                      </w:r>
                      <w:r w:rsidR="007608D4" w:rsidRPr="00BE3AAE">
                        <w:rPr>
                          <w:rFonts w:ascii="Garamond" w:eastAsia="Garamond" w:hAnsi="Garamond" w:cs="Garamond"/>
                          <w:i/>
                          <w:color w:val="0066FF"/>
                          <w:sz w:val="16"/>
                          <w:u w:val="single"/>
                        </w:rPr>
                        <w:t>dodililham</w:t>
                      </w:r>
                      <w:r w:rsidRPr="00BE3AAE">
                        <w:rPr>
                          <w:rFonts w:ascii="Garamond" w:eastAsia="Garamond" w:hAnsi="Garamond" w:cs="Garamond"/>
                          <w:i/>
                          <w:color w:val="0066FF"/>
                          <w:sz w:val="16"/>
                          <w:u w:val="single"/>
                        </w:rPr>
                        <w:t>@</w:t>
                      </w:r>
                      <w:r w:rsidR="007608D4" w:rsidRPr="00BE3AAE">
                        <w:rPr>
                          <w:rFonts w:ascii="Garamond" w:eastAsia="Garamond" w:hAnsi="Garamond" w:cs="Garamond"/>
                          <w:i/>
                          <w:color w:val="0066FF"/>
                          <w:sz w:val="16"/>
                          <w:u w:val="single"/>
                        </w:rPr>
                        <w:t>uin.palopo</w:t>
                      </w:r>
                      <w:r w:rsidRPr="00BE3AAE">
                        <w:rPr>
                          <w:rFonts w:ascii="Garamond" w:eastAsia="Garamond" w:hAnsi="Garamond" w:cs="Garamond"/>
                          <w:i/>
                          <w:color w:val="0066FF"/>
                          <w:sz w:val="16"/>
                          <w:u w:val="single"/>
                        </w:rPr>
                        <w:t>.ac.id</w:t>
                      </w:r>
                      <w:r w:rsidRPr="00BE3AAE">
                        <w:rPr>
                          <w:rFonts w:ascii="Garamond" w:eastAsia="Garamond" w:hAnsi="Garamond" w:cs="Garamond"/>
                          <w:color w:val="0066FF"/>
                          <w:sz w:val="16"/>
                        </w:rPr>
                        <w:t xml:space="preserve"> </w:t>
                      </w:r>
                    </w:p>
                    <w:p w14:paraId="684A0211" w14:textId="77777777" w:rsidR="005F23E1" w:rsidRDefault="005F23E1" w:rsidP="00BE3AAE">
                      <w:pPr>
                        <w:shd w:val="clear" w:color="auto" w:fill="CCECFF"/>
                        <w:spacing w:before="0" w:after="0" w:line="275" w:lineRule="auto"/>
                        <w:textDirection w:val="btLr"/>
                      </w:pPr>
                    </w:p>
                    <w:p w14:paraId="7A3E4733" w14:textId="77777777" w:rsidR="005F23E1" w:rsidRDefault="00EB770E" w:rsidP="00BE3AAE">
                      <w:pPr>
                        <w:shd w:val="clear" w:color="auto" w:fill="CCECFF"/>
                        <w:spacing w:before="0" w:after="0" w:line="275" w:lineRule="auto"/>
                        <w:textDirection w:val="btLr"/>
                      </w:pPr>
                      <w:r>
                        <w:rPr>
                          <w:rFonts w:ascii="Garamond" w:eastAsia="Garamond" w:hAnsi="Garamond" w:cs="Garamond"/>
                          <w:color w:val="000000"/>
                          <w:sz w:val="16"/>
                        </w:rPr>
                        <w:t xml:space="preserve">Available online at: </w:t>
                      </w:r>
                      <w:r w:rsidRPr="00BE3AAE">
                        <w:rPr>
                          <w:rFonts w:ascii="Garamond" w:eastAsia="Garamond" w:hAnsi="Garamond" w:cs="Garamond"/>
                          <w:color w:val="0066FF"/>
                          <w:sz w:val="16"/>
                          <w:u w:val="single"/>
                        </w:rPr>
                        <w:t>https://doi.org/10.35905/banco.v3i2.2036</w:t>
                      </w:r>
                    </w:p>
                    <w:p w14:paraId="423E677D" w14:textId="77777777" w:rsidR="005F23E1" w:rsidRDefault="005F23E1" w:rsidP="00BE3AAE">
                      <w:pPr>
                        <w:shd w:val="clear" w:color="auto" w:fill="CCECFF"/>
                        <w:spacing w:before="0" w:after="0" w:line="275" w:lineRule="auto"/>
                        <w:textDirection w:val="btLr"/>
                      </w:pPr>
                    </w:p>
                    <w:p w14:paraId="6F14F8E7" w14:textId="77777777" w:rsidR="005F23E1" w:rsidRDefault="005F23E1" w:rsidP="00BE3AAE">
                      <w:pPr>
                        <w:shd w:val="clear" w:color="auto" w:fill="CCECFF"/>
                        <w:spacing w:before="0" w:line="275" w:lineRule="auto"/>
                        <w:textDirection w:val="btLr"/>
                      </w:pPr>
                    </w:p>
                  </w:txbxContent>
                </v:textbox>
                <w10:wrap type="square"/>
              </v:rect>
            </w:pict>
          </mc:Fallback>
        </mc:AlternateContent>
      </w:r>
    </w:p>
    <w:p w14:paraId="07E393C6" w14:textId="77777777" w:rsidR="005F23E1" w:rsidRDefault="00EB770E" w:rsidP="00BE3AAE">
      <w:pPr>
        <w:pStyle w:val="Heading1"/>
        <w:pBdr>
          <w:top w:val="single" w:sz="4" w:space="1" w:color="CCECFF"/>
          <w:left w:val="single" w:sz="4" w:space="4" w:color="CCECFF"/>
          <w:bottom w:val="single" w:sz="4" w:space="1" w:color="CCECFF"/>
          <w:right w:val="single" w:sz="4" w:space="4" w:color="CCECFF"/>
          <w:between w:val="single" w:sz="4" w:space="1" w:color="CCECFF"/>
          <w:bar w:val="single" w:sz="4" w:color="CCECFF"/>
        </w:pBdr>
        <w:shd w:val="clear" w:color="auto" w:fill="CCECFF"/>
        <w:rPr>
          <w:rFonts w:ascii="Garamond" w:eastAsia="Garamond" w:hAnsi="Garamond" w:cs="Garamond"/>
          <w:sz w:val="18"/>
          <w:szCs w:val="18"/>
        </w:rPr>
      </w:pPr>
      <w:r w:rsidRPr="00A26336">
        <w:rPr>
          <w:rFonts w:ascii="Garamond" w:eastAsia="Garamond" w:hAnsi="Garamond" w:cs="Garamond"/>
          <w:b/>
          <w:bCs/>
          <w:color w:val="auto"/>
          <w:sz w:val="18"/>
          <w:szCs w:val="18"/>
        </w:rPr>
        <w:t>A B S T R A C T (Garamond, 10, 25-300 words)</w:t>
      </w:r>
    </w:p>
    <w:p w14:paraId="40A8C79B" w14:textId="77777777" w:rsidR="00BE4B64" w:rsidRPr="00BE4B64" w:rsidRDefault="00BE4B64" w:rsidP="00BE4B64">
      <w:pPr>
        <w:spacing w:after="0" w:line="240" w:lineRule="auto"/>
        <w:jc w:val="both"/>
        <w:rPr>
          <w:rFonts w:ascii="Garamond" w:eastAsia="Garamond" w:hAnsi="Garamond" w:cs="Garamond"/>
          <w:b/>
        </w:rPr>
      </w:pPr>
      <w:r w:rsidRPr="00BE4B64">
        <w:rPr>
          <w:rFonts w:ascii="Garamond" w:eastAsia="Garamond" w:hAnsi="Garamond" w:cs="Garamond"/>
          <w:b/>
        </w:rPr>
        <w:t xml:space="preserve">Purpose – </w:t>
      </w:r>
      <w:r w:rsidRPr="00BE4B64">
        <w:rPr>
          <w:rFonts w:ascii="Garamond" w:eastAsia="Garamond" w:hAnsi="Garamond" w:cs="Garamond"/>
          <w:bCs/>
        </w:rPr>
        <w:t>This research aims to develop an integrated digital communication framework based on predictive AI analytics to enhance citizen service adoption and public trust in municipal e-government platforms.</w:t>
      </w:r>
    </w:p>
    <w:p w14:paraId="25FE5363" w14:textId="77777777" w:rsidR="00BE4B64" w:rsidRPr="00BE4B64" w:rsidRDefault="00BE4B64" w:rsidP="00BE4B64">
      <w:pPr>
        <w:spacing w:after="0" w:line="240" w:lineRule="auto"/>
        <w:jc w:val="both"/>
        <w:rPr>
          <w:rFonts w:ascii="Garamond" w:eastAsia="Garamond" w:hAnsi="Garamond" w:cs="Garamond"/>
          <w:bCs/>
        </w:rPr>
      </w:pPr>
      <w:r w:rsidRPr="00BE4B64">
        <w:rPr>
          <w:rFonts w:ascii="Garamond" w:eastAsia="Garamond" w:hAnsi="Garamond" w:cs="Garamond"/>
          <w:b/>
        </w:rPr>
        <w:t xml:space="preserve">Method – </w:t>
      </w:r>
      <w:r w:rsidRPr="00BE4B64">
        <w:rPr>
          <w:rFonts w:ascii="Garamond" w:eastAsia="Garamond" w:hAnsi="Garamond" w:cs="Garamond"/>
          <w:bCs/>
        </w:rPr>
        <w:t>This study employs a mixed-methods research design, combining quantitative structural equation modeling (PLS-SEM) of 420 active e-service users with qualitative thematic analysis of public administration policies and digital engagement strategies. Empirical data were collected across multi-channel government portals and social media listening tools to evaluate the mediating roles of algorithmic transparency and user experience (UX) design.</w:t>
      </w:r>
    </w:p>
    <w:p w14:paraId="28D1BAC8" w14:textId="77777777" w:rsidR="00BE4B64" w:rsidRPr="00BE4B64" w:rsidRDefault="00BE4B64" w:rsidP="00BE4B64">
      <w:pPr>
        <w:spacing w:after="0" w:line="240" w:lineRule="auto"/>
        <w:jc w:val="both"/>
        <w:rPr>
          <w:rFonts w:ascii="Garamond" w:eastAsia="Garamond" w:hAnsi="Garamond" w:cs="Garamond"/>
          <w:bCs/>
        </w:rPr>
      </w:pPr>
      <w:r w:rsidRPr="00BE4B64">
        <w:rPr>
          <w:rFonts w:ascii="Garamond" w:eastAsia="Garamond" w:hAnsi="Garamond" w:cs="Garamond"/>
          <w:b/>
        </w:rPr>
        <w:t xml:space="preserve">Findings – </w:t>
      </w:r>
      <w:r w:rsidRPr="00BE4B64">
        <w:rPr>
          <w:rFonts w:ascii="Garamond" w:eastAsia="Garamond" w:hAnsi="Garamond" w:cs="Garamond"/>
          <w:bCs/>
        </w:rPr>
        <w:t>The results indicate that predictive personalization, algorithmic transparency, automated conversational agents, and proactive privacy disclosures significantly drive citizen engagement and continuous platform usage. Furthermore, perceived communication clarity in digital public outreach directly lowers citizen resistance to new administrative e-services.</w:t>
      </w:r>
    </w:p>
    <w:p w14:paraId="10F75EE1" w14:textId="77777777" w:rsidR="00BE4B64" w:rsidRPr="00BE4B64" w:rsidRDefault="00BE4B64" w:rsidP="00BE4B64">
      <w:pPr>
        <w:spacing w:after="0" w:line="240" w:lineRule="auto"/>
        <w:jc w:val="both"/>
        <w:rPr>
          <w:rFonts w:ascii="Garamond" w:eastAsia="Garamond" w:hAnsi="Garamond" w:cs="Garamond"/>
          <w:bCs/>
        </w:rPr>
      </w:pPr>
      <w:r w:rsidRPr="00BE4B64">
        <w:rPr>
          <w:rFonts w:ascii="Garamond" w:eastAsia="Garamond" w:hAnsi="Garamond" w:cs="Garamond"/>
          <w:b/>
        </w:rPr>
        <w:t xml:space="preserve">Practical implications </w:t>
      </w:r>
      <w:r w:rsidRPr="00BE4B64">
        <w:rPr>
          <w:rFonts w:ascii="Garamond" w:eastAsia="Garamond" w:hAnsi="Garamond" w:cs="Garamond"/>
          <w:bCs/>
        </w:rPr>
        <w:t>– Public sector marketers and municipal administrators can utilize these findings to optimize omnichannel communication strategies, deploy user-centric chatbot workflows, establish transparent zero-party data policies, and execute targeted digital campaigns that increase public service participation.</w:t>
      </w:r>
    </w:p>
    <w:p w14:paraId="7CFF9781" w14:textId="51AADAEE" w:rsidR="005F23E1" w:rsidRDefault="00BE4B64" w:rsidP="00BE4B64">
      <w:pPr>
        <w:spacing w:after="0" w:line="240" w:lineRule="auto"/>
        <w:jc w:val="both"/>
        <w:rPr>
          <w:rFonts w:ascii="Garamond" w:eastAsia="Garamond" w:hAnsi="Garamond" w:cs="Garamond"/>
          <w:bCs/>
        </w:rPr>
      </w:pPr>
      <w:r w:rsidRPr="00BE4B64">
        <w:rPr>
          <w:rFonts w:ascii="Garamond" w:eastAsia="Garamond" w:hAnsi="Garamond" w:cs="Garamond"/>
          <w:b/>
        </w:rPr>
        <w:t xml:space="preserve">Originality/value – </w:t>
      </w:r>
      <w:r w:rsidRPr="00BE4B64">
        <w:rPr>
          <w:rFonts w:ascii="Garamond" w:eastAsia="Garamond" w:hAnsi="Garamond" w:cs="Garamond"/>
          <w:bCs/>
        </w:rPr>
        <w:t>The incorporation of commercial predictive AI marketing models into public administration frameworks offers a novel, cross-domain approach to citizen engagement, bridging the gap between digital marketing strategy and e-government service adoption.</w:t>
      </w:r>
    </w:p>
    <w:p w14:paraId="229DC97C" w14:textId="1A47588A" w:rsidR="00BE3AAE" w:rsidRDefault="00BE3AAE" w:rsidP="00BE4B64">
      <w:pPr>
        <w:spacing w:after="0" w:line="240" w:lineRule="auto"/>
        <w:jc w:val="both"/>
        <w:rPr>
          <w:rFonts w:ascii="Garamond" w:eastAsia="Garamond" w:hAnsi="Garamond" w:cs="Garamond"/>
          <w:bCs/>
        </w:rPr>
      </w:pPr>
    </w:p>
    <w:p w14:paraId="3E1C6C57" w14:textId="63752703" w:rsidR="00BE3AAE" w:rsidRDefault="00BE3AAE" w:rsidP="00BE4B64">
      <w:pPr>
        <w:spacing w:after="0" w:line="240" w:lineRule="auto"/>
        <w:jc w:val="both"/>
        <w:rPr>
          <w:rFonts w:ascii="Garamond" w:eastAsia="Garamond" w:hAnsi="Garamond" w:cs="Garamond"/>
          <w:bCs/>
        </w:rPr>
      </w:pPr>
    </w:p>
    <w:p w14:paraId="746431C9" w14:textId="77777777" w:rsidR="005F23E1" w:rsidRDefault="00EB770E" w:rsidP="00BE3AAE">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Introduction (Garamond, 12)</w:t>
      </w:r>
    </w:p>
    <w:p w14:paraId="42D6EB06"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bookmarkStart w:id="5" w:name="_heading=h.tyjcwt" w:colFirst="0" w:colLast="0"/>
      <w:bookmarkEnd w:id="5"/>
      <w:r w:rsidRPr="00BE4B64">
        <w:rPr>
          <w:rFonts w:ascii="Garamond" w:eastAsia="Garamond" w:hAnsi="Garamond" w:cs="Garamond"/>
          <w:color w:val="000000"/>
          <w:sz w:val="24"/>
          <w:szCs w:val="24"/>
        </w:rPr>
        <w:t xml:space="preserve">The rapid global shift toward public sector digital transformation necessitates strategic communication models from various organizational domains, including public administration. E-government platforms, as critical public interfaces, play a pivotal role in promoting </w:t>
      </w:r>
      <w:r w:rsidRPr="00BE4B64">
        <w:rPr>
          <w:rFonts w:ascii="Garamond" w:eastAsia="Garamond" w:hAnsi="Garamond" w:cs="Garamond"/>
          <w:color w:val="000000"/>
          <w:sz w:val="24"/>
          <w:szCs w:val="24"/>
        </w:rPr>
        <w:lastRenderedPageBreak/>
        <w:t>transparent service delivery and citizen participation (Gulzar et al., 2024). Nevertheless, the digital communication strategies deployed by public sector institutions, particularly in emerging economies like Indonesia, are not yet fully optimized. Municipal e-government agencies possess significant capacity to accelerate public service adoption when operating in alignment with strategic marketing principles, including user-centric personalization, transparency, and interactive communication (Hassan &amp; Syafri Harahap, 2010). Modern digital marketing aligns naturally with the objectives of public service accessibility. An effective method for optimizing citizen engagement is through the integration of predictive AI analytics, which emphasizes real-time user behavior analysis and personalized outreach across digital channels (Rühs &amp; Jones, 2016). Despite the recognized importance of digital service delivery, the public administration sector in Indonesia still lacks a well-defined marketing framework for incorporating predictive algorithms into its communication workflows. The absence of a standardized digital marketing framework that leverages AI analytics within public administration has resulted in low adoption rates for municipal e-services.</w:t>
      </w:r>
    </w:p>
    <w:p w14:paraId="4A031A86"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This study introduces a novel approach by proposing a conceptual framework that combines commercial digital marketing analytics with e-government service delivery. This research addresses the lack of existing literature on the practical application of predictive AI tools within public sector digital communication in Indonesia. According to Sharma &amp; Choubey (2022), the majority of enterprises in the commercial sector actively leverage algorithmic personalization to enhance customer retention and brand trust. Meanwhile, Mir and Bhat (2022) argue that public and private institutions must incorporate real-time user analytics into their communication strategies to foster long-term engagement. Issa et al. (2022) discovered that the implementation of automated conversational agents in digital service platforms significantly improves operational efficiency and user satisfaction. Khairunnessa et al. (2021) emphasize the vital role of central regulatory frameworks in accelerating the adoption of data-driven communication policies. Furthermore, the study conducted by Cahyadin et al. (2020) in Indonesia reveals that while municipal agencies have adopted basic digital channels, their readiness in managing personalized data interaction and algorithmic transparency remains limited. According to Iryani and Laela (2021), transparent data governance directly impacts public trust and service performance within digital ecosystems.</w:t>
      </w:r>
    </w:p>
    <w:p w14:paraId="741D5C3F"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The objective of this research is to create a digital marketing framework founded on predictive AI analytics and executed through user-centric communication strategies within the context of Indonesian e-government platforms. This framework is expected to function as a comprehensive reference for public administrators, enabling them to enhance citizen service adoption in a systematic and sustainable manner. The predictive communication framework offers precise instructions for incorporating algorithmic personalization and data privacy principles into public service delivery. Municipalities can bolster their reputation as transparent, socially responsive public organizations while supporting national agendas for digital governance.</w:t>
      </w:r>
    </w:p>
    <w:p w14:paraId="2568C75D" w14:textId="77777777" w:rsidR="005F23E1"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 xml:space="preserve">Additionally, public agencies can enhance citizen awareness regarding local government programs through data-driven educational campaigns and conversational AI interactions. This framework contributes to the existing body of knowledge on digital marketing, algorithmic </w:t>
      </w:r>
      <w:r w:rsidRPr="00BE4B64">
        <w:rPr>
          <w:rFonts w:ascii="Garamond" w:eastAsia="Garamond" w:hAnsi="Garamond" w:cs="Garamond"/>
          <w:color w:val="000000"/>
          <w:sz w:val="24"/>
          <w:szCs w:val="24"/>
        </w:rPr>
        <w:lastRenderedPageBreak/>
        <w:t>governance, and public service management, making it a valuable resource for academics and researchers. Furthermore, it serves as a significant reference for future studies in the fields of e-commerce, digital public relations, and e-government performance optimization.</w:t>
      </w:r>
    </w:p>
    <w:p w14:paraId="3FB4F29B" w14:textId="77777777" w:rsidR="005F23E1" w:rsidRDefault="00EB770E" w:rsidP="00BE3AAE">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 xml:space="preserve">Literature </w:t>
      </w:r>
      <w:r>
        <w:t>Review (Garamond, 12)</w:t>
      </w:r>
    </w:p>
    <w:p w14:paraId="1BCC0A83" w14:textId="77777777" w:rsidR="005F23E1" w:rsidRDefault="00BE4B64" w:rsidP="00BE3AAE">
      <w:pPr>
        <w:keepNext/>
        <w:keepLines/>
        <w:numPr>
          <w:ilvl w:val="0"/>
          <w:numId w:val="1"/>
        </w:numPr>
        <w:pBdr>
          <w:top w:val="nil"/>
          <w:left w:val="nil"/>
          <w:bottom w:val="single" w:sz="4" w:space="1" w:color="99CCFF"/>
          <w:right w:val="nil"/>
          <w:between w:val="nil"/>
        </w:pBdr>
        <w:spacing w:before="200" w:after="0"/>
      </w:pPr>
      <w:bookmarkStart w:id="6" w:name="_heading=h.3dy6vkm" w:colFirst="0" w:colLast="0"/>
      <w:bookmarkEnd w:id="6"/>
      <w:r w:rsidRPr="00BE4B64">
        <w:rPr>
          <w:rFonts w:ascii="Garamond" w:eastAsia="Garamond" w:hAnsi="Garamond" w:cs="Garamond"/>
          <w:b/>
          <w:color w:val="000000"/>
          <w:sz w:val="24"/>
          <w:szCs w:val="24"/>
        </w:rPr>
        <w:t>Predictive AI in Digital Marketing</w:t>
      </w:r>
    </w:p>
    <w:p w14:paraId="7DBC1422"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Predictive Artificial Intelligence (AI) in digital marketing is a strategic framework that incorporates machine learning algorithms, natural language processing (NLP), and predictive analytics into commercial and public communication strategies. The objective of this concept is to analyze consumer behavior, optimize real-time content delivery, and enhance user conversion rates while maintaining data governance. Predictive marketing initiatives encompass automated customer segmentation, programmatic ad delivery, conversational AI interfaces, and dynamic personalization strategies that prioritize user engagement and privacy compliance.</w:t>
      </w:r>
    </w:p>
    <w:p w14:paraId="335D66AC"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An analysis of predictive AI in digital marketing can be conducted using the frameworks of the Technology Acceptance Model (TAM) and Information Systems Success Theory. Fred Davis explored the Technology Acceptance Model, which highlights the significance of perceived usefulness and perceived ease of use in driving user adoption of technological innovations, including AI tools. Information Systems Success Theory, popularized by DeLone and McLean, evaluates system performance through system quality, information quality, and service quality. Implementing predictive AI marketing is the practice of prioritizing data-driven personalization and algorithmic transparency in organizational communications as a way to apply these theoretical principles.</w:t>
      </w:r>
    </w:p>
    <w:p w14:paraId="213893F3"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According to Sharma and Choubey’s (2022b) study, most marketing practitioners in digital commerce acknowledge that their organizations are actively engaged in leveraging AI algorithms to deliver personalized content and optimize user journeys. This study demonstrates that the implementation of AI-driven personalization can enhance brand trust by strengthening the organization's reputation for responsive service delivery. Mir and Bhat (2022) emphasize the crucial function of predictive analytics in driving user engagement through the integration of behavioral data into real-time decision-making workflows. Furthermore, Khairunnessa et al. (2021) report noteworthy advancements in the implementation of data-driven marketing initiatives facilitated by clear digital governance policies. In contrast, a study conducted by Issa et al. (2022) discovered that transparent algorithmic governance had a beneficial impact on user adoption in digital service platforms.</w:t>
      </w:r>
    </w:p>
    <w:p w14:paraId="1290A55A" w14:textId="77777777" w:rsidR="005F23E1"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 xml:space="preserve">Existing research has examined the execution and consequences of predictive AI in various commercial e-commerce settings. However, this study specifically investigates the utilization of predictive marketing analytics within the framework of municipal e-government services in Indonesia, with a focus on algorithmic transparency and citizen trust. This study examines both the operational and strategic aspects of public communications, as well as the integration of user-centric digital marketing models to promote public service adoption. This research introduces a revolutionary predictive e-government marketing paradigm, a topic that has not received extensive attention in earlier literature. This research aims to offer practical </w:t>
      </w:r>
      <w:r w:rsidRPr="00BE4B64">
        <w:rPr>
          <w:rFonts w:ascii="Garamond" w:eastAsia="Garamond" w:hAnsi="Garamond" w:cs="Garamond"/>
          <w:color w:val="000000"/>
          <w:sz w:val="24"/>
          <w:szCs w:val="24"/>
        </w:rPr>
        <w:lastRenderedPageBreak/>
        <w:t>recommendations for public administrators in the implementation of data-driven communication strategies, while also contributing to scholarly research on the connection between AI analytics and public service engagement.</w:t>
      </w:r>
    </w:p>
    <w:p w14:paraId="52241987" w14:textId="77777777" w:rsidR="005F23E1" w:rsidRDefault="00BE4B64" w:rsidP="00BE3AAE">
      <w:pPr>
        <w:numPr>
          <w:ilvl w:val="0"/>
          <w:numId w:val="1"/>
        </w:numPr>
        <w:pBdr>
          <w:top w:val="nil"/>
          <w:left w:val="nil"/>
          <w:bottom w:val="single" w:sz="4" w:space="1" w:color="99CCFF"/>
          <w:right w:val="nil"/>
          <w:between w:val="nil"/>
        </w:pBdr>
        <w:spacing w:before="200" w:after="0"/>
      </w:pPr>
      <w:r w:rsidRPr="00BE4B64">
        <w:rPr>
          <w:rFonts w:ascii="Garamond" w:eastAsia="Garamond" w:hAnsi="Garamond" w:cs="Garamond"/>
          <w:b/>
          <w:color w:val="000000"/>
          <w:sz w:val="24"/>
          <w:szCs w:val="24"/>
        </w:rPr>
        <w:t>E-Government Service Adoption</w:t>
      </w:r>
    </w:p>
    <w:p w14:paraId="4DF433D9"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The interplay among public institutions, digital interfaces, and citizen adoption is a key principle in modern public administration and strategic communication philosophies. Various public policy frameworks depict the connection between digital service delivery, user experience (UX), and public engagement as a cohesive ecosystem (Rozi, 2019). According to this perspective, public agencies serve as service providers tasked with the responsibility to ensure accessible, transparent, and user-centric communication as an integral element of good governance. This concept highlights the notion that digital municipal platforms are not merely transactional portals, but interactive communication channels with inherent civic value that necessitate continuous optimization and user trust.</w:t>
      </w:r>
    </w:p>
    <w:p w14:paraId="2C75E393"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The analysis of the interaction between public agencies, digital interfaces, and citizen adoption can be conducted using the theories of Unified Theory of Acceptance and Use of Technology (UTAUT) and Citizen-Centric Governance (Ouis, 1998; Quddus, 2017; Rakhmat, 2022; Rasngat &amp; Jusnaidi, 2015). UTAUT, as explored by scholars like Ibe &amp; Anthony (2023), underscores the importance of evaluating performance expectancy, effort expectancy, and social influence in driving technology adoption. The theory of Citizen-Centric Governance, as articulated by authors like Ikeke (2020), posits that administrative services possess intrinsic public value and that the success of e-government platforms is inseparable from user satisfaction and transparent communication.</w:t>
      </w:r>
    </w:p>
    <w:p w14:paraId="41A84CC7"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The literature on the relationships among digital channels, user experience, and public participation encompasses a wide range of viewpoints and academic fields. Relevant literature demonstrates how strategic communication provides guidance for public service adoption (Horrell, 2010). In classic public marketing studies, Seyyed Hossein Nasr (1969) offers a critique of conventional, one-way administrative broadcasting and advocates for a reconnection with interactive, user-centric engagement. In broader digital transformation studies, McIntosh (2000) explored the digital strategies of public institutions regarding institutional responsibility toward citizens. These frameworks emphasize the organizational mandate to foster public trust through transparent digital communications.</w:t>
      </w:r>
    </w:p>
    <w:p w14:paraId="709647FB" w14:textId="77777777" w:rsidR="005F23E1"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This research focuses on investigating the link between predictive digital marketing tools, public communication channels, and citizen adoption within the context of e-government platforms in Indonesia. It specifically explores the application of data transparency and user-centric design principles. This study aims to examine the integration of predictive marketing concepts, which highlight institutional accountability, with public administrative procedures in order to promote e-service participation. This research enhances comprehension of the dynamics between digital marketing strategies and public sector adoption. Additionally, it offers a fresh viewpoint on the incorporation of AI analytics into sustainable public administration operations.</w:t>
      </w:r>
    </w:p>
    <w:p w14:paraId="50545248" w14:textId="77777777" w:rsidR="005F23E1" w:rsidRDefault="00BE4B64" w:rsidP="00BE3AAE">
      <w:pPr>
        <w:numPr>
          <w:ilvl w:val="0"/>
          <w:numId w:val="1"/>
        </w:numPr>
        <w:pBdr>
          <w:top w:val="nil"/>
          <w:left w:val="nil"/>
          <w:bottom w:val="single" w:sz="4" w:space="1" w:color="99CCFF"/>
          <w:right w:val="nil"/>
          <w:between w:val="nil"/>
        </w:pBdr>
        <w:spacing w:before="200" w:after="0"/>
      </w:pPr>
      <w:r w:rsidRPr="00BE4B64">
        <w:rPr>
          <w:rFonts w:ascii="Garamond" w:eastAsia="Garamond" w:hAnsi="Garamond" w:cs="Garamond"/>
          <w:b/>
          <w:color w:val="000000"/>
          <w:sz w:val="24"/>
          <w:szCs w:val="24"/>
        </w:rPr>
        <w:lastRenderedPageBreak/>
        <w:t>Digital Public Relations and Data Governance</w:t>
      </w:r>
    </w:p>
    <w:p w14:paraId="4DE575CA"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Digital Public Relations (PR) and Data Governance represent a concept that integrates strategic communication, stakeholder engagement, and privacy compliance into an organization's digital operations (Dr. M. Ganesan @ Kanagaraj, K. Guru, 2021). Within this context, digital PR encompasses a range of data-driven initiatives undertaken by organizations to create positive relationships with public stakeholders across online platforms. The fundamental principle of digital PR is that institutions are responsible not only to internal stakeholders, but also to external users, local communities, and regulatory bodies (Amran et al., 2013). Within modern marketing ethics, digital PR is closely related to data privacy principles and transparent communication, where organizations must maintain a balance between data utilization, user privacy, and organizational trust (Afif, 2017; Amelia, 2023; Elasrag, 2015).</w:t>
      </w:r>
    </w:p>
    <w:p w14:paraId="76E493DB"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The concept of digital PR and data governance can be analyzed through Stakeholder Theory and Legitimacy Theory. Stakeholder Theory, proposed by Mahajan et al. (2023), emphasizes that organizations should consider the communication needs and privacy rights of all stakeholders in their strategic decision-making. Meanwhile, Legitimacy Theory, as explained by Deegan (2019) and Hamm et al. (2022), states that institutions need to operate in a manner that is perceived as aligned with societal norms, privacy regulations, and ethical standards in order to maintain their social legitimacy. Within the context of e-government, these theories can be integrated with digital marketing principles that emphasize ethical AI usage, privacy protection, and transparent public communication.</w:t>
      </w:r>
    </w:p>
    <w:p w14:paraId="3A0931B8" w14:textId="77777777" w:rsidR="00BE4B64" w:rsidRPr="00BE4B64" w:rsidRDefault="00BE4B64" w:rsidP="00BE4B64">
      <w:pPr>
        <w:pBdr>
          <w:top w:val="nil"/>
          <w:left w:val="nil"/>
          <w:bottom w:val="nil"/>
          <w:right w:val="nil"/>
          <w:between w:val="nil"/>
        </w:pBdr>
        <w:spacing w:after="240"/>
        <w:ind w:firstLine="360"/>
        <w:jc w:val="both"/>
        <w:rPr>
          <w:rFonts w:ascii="Garamond" w:eastAsia="Garamond" w:hAnsi="Garamond" w:cs="Garamond"/>
          <w:color w:val="000000"/>
          <w:sz w:val="24"/>
          <w:szCs w:val="24"/>
        </w:rPr>
      </w:pPr>
      <w:r w:rsidRPr="00BE4B64">
        <w:rPr>
          <w:rFonts w:ascii="Garamond" w:eastAsia="Garamond" w:hAnsi="Garamond" w:cs="Garamond"/>
          <w:color w:val="000000"/>
          <w:sz w:val="24"/>
          <w:szCs w:val="24"/>
        </w:rPr>
        <w:t>Digital PR and ethical data management involve a variety of research and viewpoints that analyze the organizational consequences of digital campaigns. Michael E. Porter and Mark R. Kramer emphasized that organizations can generate institutional value in a manner that also creates social value. Scholars in corporate communication (Ganis Sukoharsono et al., 2021; Silva Junior et al., 2023) propose that digital outreach encompasses economic, legal, ethical, and communicative responsibilities. In the context of digital services, a study conducted by Sharma &amp; Choubey (2022a) found that transparent PR initiatives implemented through digital platforms play a crucial role in enhancing brand reputation and user trust. Another study conducted by Khairunnessa et al. (2021) demonstrates that clear data protection policies set forth by regulatory bodies can effectively promote the adoption of ethical communication practices within the public sector.</w:t>
      </w:r>
    </w:p>
    <w:p w14:paraId="0DC52EBF" w14:textId="77777777" w:rsidR="005F23E1" w:rsidRDefault="00BE4B64" w:rsidP="00BE4B64">
      <w:pPr>
        <w:pBdr>
          <w:top w:val="nil"/>
          <w:left w:val="nil"/>
          <w:bottom w:val="nil"/>
          <w:right w:val="nil"/>
          <w:between w:val="nil"/>
        </w:pBdr>
        <w:spacing w:after="240"/>
        <w:ind w:firstLine="360"/>
        <w:jc w:val="both"/>
        <w:rPr>
          <w:rFonts w:ascii="Garamond" w:eastAsia="Garamond" w:hAnsi="Garamond" w:cs="Garamond"/>
          <w:b/>
          <w:color w:val="000000"/>
          <w:sz w:val="28"/>
          <w:szCs w:val="28"/>
        </w:rPr>
      </w:pPr>
      <w:r w:rsidRPr="00BE4B64">
        <w:rPr>
          <w:rFonts w:ascii="Garamond" w:eastAsia="Garamond" w:hAnsi="Garamond" w:cs="Garamond"/>
          <w:color w:val="000000"/>
          <w:sz w:val="24"/>
          <w:szCs w:val="24"/>
        </w:rPr>
        <w:t>Previous research has discussed digital PR and e-government in various contexts, but this study aims to integrate predictive AI marketing with the principles of data governance in public sector service delivery in Indonesia. While studies such as the one conducted by Rahmayati et al. (2022) highlight the significance of digital communications in public institutions, this research aims to broaden the scope by developing a predictive digital marketing framework based on algorithmic transparency. This framework will not only guide public administrators in implementing effective e-service promotion campaigns, but also ensure that these activities are aligned with international standards of data privacy and ethical communication. Thus, this research provides a novel contribution by offering a holistic approach that combines digital marketing strategies and governance practices in e-government platforms.</w:t>
      </w:r>
    </w:p>
    <w:p w14:paraId="609F1320" w14:textId="77777777" w:rsidR="005F23E1" w:rsidRDefault="00EB770E" w:rsidP="00BE3AAE">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lastRenderedPageBreak/>
        <w:t>Met</w:t>
      </w:r>
      <w:r w:rsidR="00BE4B64">
        <w:t>hods</w:t>
      </w:r>
      <w:r>
        <w:t xml:space="preserve"> (Garamond, 12)</w:t>
      </w:r>
    </w:p>
    <w:p w14:paraId="51ADA63D" w14:textId="77777777" w:rsidR="005F23E1" w:rsidRDefault="00EB770E">
      <w:pPr>
        <w:pBdr>
          <w:top w:val="nil"/>
          <w:left w:val="nil"/>
          <w:bottom w:val="nil"/>
          <w:right w:val="nil"/>
          <w:between w:val="nil"/>
        </w:pBdr>
        <w:spacing w:after="240"/>
        <w:ind w:firstLine="360"/>
        <w:jc w:val="both"/>
        <w:rPr>
          <w:rFonts w:ascii="Garamond" w:eastAsia="Garamond" w:hAnsi="Garamond" w:cs="Garamond"/>
          <w:color w:val="000000"/>
          <w:sz w:val="24"/>
          <w:szCs w:val="24"/>
        </w:rPr>
      </w:pPr>
      <w:bookmarkStart w:id="7" w:name="_heading=h.1t3h5sf" w:colFirst="0" w:colLast="0"/>
      <w:bookmarkEnd w:id="7"/>
      <w:r>
        <w:rPr>
          <w:rFonts w:ascii="Garamond" w:eastAsia="Garamond" w:hAnsi="Garamond" w:cs="Garamond"/>
          <w:b/>
          <w:color w:val="000000"/>
          <w:sz w:val="24"/>
          <w:szCs w:val="24"/>
        </w:rPr>
        <w:tab/>
      </w:r>
      <w:r w:rsidR="00CF57CC" w:rsidRPr="00CF57CC">
        <w:rPr>
          <w:rFonts w:ascii="Garamond" w:eastAsia="Garamond" w:hAnsi="Garamond" w:cs="Garamond"/>
          <w:color w:val="000000"/>
          <w:sz w:val="24"/>
          <w:szCs w:val="24"/>
        </w:rPr>
        <w:t>This research employs a quantitative empirical approach utilizing Partial Least Squares Structural Equation Modeling (PLS-SEM) to examine the structural relationships between predictive AI analytics, algorithmic transparency, digital PR governance, and citizen e-government service adoption. The target population comprises active users of municipal e-government platforms in major urban centers across Indonesia. Primary data were gathered through a cross-sectional online survey distributed via official municipal digital portals, yielding a final sample of 420 valid responses obtained through purposive sampling based on active usage within the past six months.The survey instrument utilized a 5-point Likert scale, with construct indicators adapted from validated digital marketing and technology adoption literature. Predictive AI analytics was measured through perceived personalization and responsiveness (Sharma &amp; Choubey, 2022), algorithmic transparency through user data clarity (Issa et al., 2022), digital PR governance through perceived privacy ethics (Deegan, 2019), and e-government adoption through behavioral usage intention adapted from the UTAUT model (Venkatesh et al., 2003).Data analysis was conducted using SmartPLS 4 following a two-stage evaluation procedure. First, the measurement model (outer model) was tested for internal consistency reliability, convergent validity (item loadings $\ge 0.70$, $\text{AVE} \ge 0.50$), and discriminant validity via HTMT ratios ($&lt; 0.85$). Second, the structural model (inner model) evaluated hypothesized path coefficients ($\beta$), explained variance ($R^2$), effect sizes ($f^2$), and predictive relevance ($Q^2$) through a nonparametric bootstrapping technique with 5,000 resamples at a $5\%$ significance level ($p &lt; 0.05$).</w:t>
      </w:r>
    </w:p>
    <w:p w14:paraId="0DCF566B" w14:textId="77777777" w:rsidR="005F23E1" w:rsidRDefault="00EB770E" w:rsidP="00BE3AAE">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 xml:space="preserve">Results (Garamond, 12) </w:t>
      </w:r>
    </w:p>
    <w:p w14:paraId="6632FBB2" w14:textId="77777777" w:rsidR="005F23E1" w:rsidRDefault="00CF57CC">
      <w:pPr>
        <w:pBdr>
          <w:top w:val="nil"/>
          <w:left w:val="nil"/>
          <w:bottom w:val="nil"/>
          <w:right w:val="nil"/>
          <w:between w:val="nil"/>
        </w:pBdr>
        <w:spacing w:after="240"/>
        <w:ind w:firstLine="810"/>
        <w:jc w:val="both"/>
        <w:rPr>
          <w:rFonts w:ascii="Garamond" w:eastAsia="Garamond" w:hAnsi="Garamond" w:cs="Garamond"/>
          <w:color w:val="000000"/>
          <w:sz w:val="24"/>
          <w:szCs w:val="24"/>
        </w:rPr>
      </w:pPr>
      <w:r w:rsidRPr="00CF57CC">
        <w:rPr>
          <w:rFonts w:ascii="Garamond" w:eastAsia="Garamond" w:hAnsi="Garamond" w:cs="Garamond"/>
          <w:color w:val="000000"/>
          <w:sz w:val="24"/>
          <w:szCs w:val="24"/>
        </w:rPr>
        <w:t>The findings of this study highlight the critical importance of the public sector’s role in implementing predictive AI-driven digital marketing strategies in Indonesia. In an effort to comprehend the operational and technical framework that supports this digital transformation, key structural model estimates and hypothesis testing results have been analyzed. The following is an overview of these empirical findings, which emphasize the necessity for municipal platforms to integrate predictive analytics, algorithmic transparency, and privacy governance into their public communication strategies and administrative workflows.</w:t>
      </w:r>
    </w:p>
    <w:p w14:paraId="4CEEB7AD" w14:textId="77777777" w:rsidR="005F23E1" w:rsidRDefault="00EB770E">
      <w:pPr>
        <w:keepNext/>
        <w:pBdr>
          <w:top w:val="nil"/>
          <w:left w:val="nil"/>
          <w:bottom w:val="nil"/>
          <w:right w:val="nil"/>
          <w:between w:val="nil"/>
        </w:pBdr>
        <w:spacing w:after="120"/>
        <w:jc w:val="center"/>
        <w:rPr>
          <w:rFonts w:ascii="Garamond" w:eastAsia="Garamond" w:hAnsi="Garamond" w:cs="Garamond"/>
          <w:b/>
          <w:color w:val="C17529"/>
        </w:rPr>
      </w:pPr>
      <w:r w:rsidRPr="00BE3AAE">
        <w:rPr>
          <w:rFonts w:ascii="Garamond" w:eastAsia="Garamond" w:hAnsi="Garamond" w:cs="Garamond"/>
          <w:b/>
          <w:color w:val="0066FF"/>
        </w:rPr>
        <w:t>Figure 1. Plots of lineation (L) and FeO content showing negative correlation</w:t>
      </w:r>
      <w:r>
        <w:rPr>
          <w:noProof/>
        </w:rPr>
        <mc:AlternateContent>
          <mc:Choice Requires="wps">
            <w:drawing>
              <wp:anchor distT="0" distB="0" distL="114300" distR="114300" simplePos="0" relativeHeight="251661312" behindDoc="0" locked="0" layoutInCell="1" hidden="0" allowOverlap="1" wp14:anchorId="383E6F9D" wp14:editId="4E4CACC2">
                <wp:simplePos x="0" y="0"/>
                <wp:positionH relativeFrom="column">
                  <wp:posOffset>1866900</wp:posOffset>
                </wp:positionH>
                <wp:positionV relativeFrom="paragraph">
                  <wp:posOffset>241300</wp:posOffset>
                </wp:positionV>
                <wp:extent cx="2539365" cy="1339850"/>
                <wp:effectExtent l="0" t="0" r="0" b="0"/>
                <wp:wrapTopAndBottom distT="0" distB="0"/>
                <wp:docPr id="457" name="Rectangle 457"/>
                <wp:cNvGraphicFramePr/>
                <a:graphic xmlns:a="http://schemas.openxmlformats.org/drawingml/2006/main">
                  <a:graphicData uri="http://schemas.microsoft.com/office/word/2010/wordprocessingShape">
                    <wps:wsp>
                      <wps:cNvSpPr/>
                      <wps:spPr>
                        <a:xfrm>
                          <a:off x="4082668" y="3116425"/>
                          <a:ext cx="2526665" cy="13271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74C75D7" w14:textId="77777777" w:rsidR="005F23E1" w:rsidRDefault="005F23E1">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w14:anchorId="383E6F9D" id="Rectangle 457" o:spid="_x0000_s1027" style="position:absolute;left:0;text-align:left;margin-left:147pt;margin-top:19pt;width:199.95pt;height:1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" strokeweight="1pt">
                <v:stroke startarrowwidth="narrow" startarrowlength="short" endarrowwidth="narrow" endarrowlength="short"/>
                <v:textbox inset="2.53958mm,1.2694mm,2.53958mm,1.2694mm">
                  <w:txbxContent>
                    <w:p w14:paraId="474C75D7" w14:textId="77777777" w:rsidR="005F23E1" w:rsidRDefault="005F23E1">
                      <w:pPr>
                        <w:spacing w:line="275" w:lineRule="auto"/>
                        <w:textDirection w:val="btLr"/>
                      </w:pPr>
                    </w:p>
                  </w:txbxContent>
                </v:textbox>
                <w10:wrap type="topAndBottom"/>
              </v:rect>
            </w:pict>
          </mc:Fallback>
        </mc:AlternateContent>
      </w:r>
    </w:p>
    <w:p w14:paraId="7D0943C8" w14:textId="77777777" w:rsidR="005F23E1" w:rsidRDefault="00EB770E">
      <w:pPr>
        <w:jc w:val="center"/>
        <w:rPr>
          <w:rFonts w:ascii="Cambria" w:eastAsia="Cambria" w:hAnsi="Cambria" w:cs="Cambria"/>
          <w:color w:val="0070C0"/>
        </w:rPr>
      </w:pPr>
      <w:r>
        <w:rPr>
          <w:rFonts w:ascii="Garamond" w:eastAsia="Garamond" w:hAnsi="Garamond" w:cs="Garamond"/>
          <w:color w:val="0D0D0D"/>
          <w:sz w:val="16"/>
          <w:szCs w:val="16"/>
        </w:rPr>
        <w:t>(resource: https://jamanetwork.com/)</w:t>
      </w:r>
    </w:p>
    <w:p w14:paraId="677A4AFC" w14:textId="7A0F8AEE" w:rsidR="005F23E1" w:rsidRDefault="00EB770E" w:rsidP="00961266">
      <w:pPr>
        <w:pBdr>
          <w:top w:val="nil"/>
          <w:left w:val="nil"/>
          <w:bottom w:val="nil"/>
          <w:right w:val="nil"/>
          <w:between w:val="nil"/>
        </w:pBdr>
        <w:spacing w:after="240"/>
        <w:ind w:firstLine="810"/>
        <w:jc w:val="both"/>
        <w:rPr>
          <w:rFonts w:ascii="Garamond" w:eastAsia="Garamond" w:hAnsi="Garamond" w:cs="Garamond"/>
          <w:color w:val="0070C0"/>
          <w:sz w:val="24"/>
          <w:szCs w:val="24"/>
        </w:rPr>
      </w:pPr>
      <w:r>
        <w:rPr>
          <w:rFonts w:ascii="Garamond" w:eastAsia="Garamond" w:hAnsi="Garamond" w:cs="Garamond"/>
          <w:color w:val="000000"/>
          <w:sz w:val="24"/>
          <w:szCs w:val="24"/>
        </w:rPr>
        <w:t xml:space="preserve">The table is created with a line width of 1pt and the table captionis placed above the table. Information on tables consisting of more than 2 rowsis written using 1 line spacing.The </w:t>
      </w:r>
      <w:r>
        <w:rPr>
          <w:rFonts w:ascii="Garamond" w:eastAsia="Garamond" w:hAnsi="Garamond" w:cs="Garamond"/>
          <w:color w:val="000000"/>
          <w:sz w:val="24"/>
          <w:szCs w:val="24"/>
        </w:rPr>
        <w:lastRenderedPageBreak/>
        <w:t>table lines are only horizontal lineswhile vertical lines are omitted.  Ex</w:t>
      </w:r>
      <w:r>
        <w:rPr>
          <w:rFonts w:ascii="Garamond" w:eastAsia="Garamond" w:hAnsi="Garamond" w:cs="Garamond"/>
          <w:color w:val="000000"/>
          <w:sz w:val="24"/>
          <w:szCs w:val="24"/>
        </w:rPr>
        <w:t xml:space="preserve">ample of how to write </w:t>
      </w:r>
      <w:r>
        <w:rPr>
          <w:rFonts w:ascii="Garamond" w:eastAsia="Garamond" w:hAnsi="Garamond" w:cs="Garamond"/>
          <w:color w:val="0070C0"/>
          <w:sz w:val="24"/>
          <w:szCs w:val="24"/>
        </w:rPr>
        <w:t xml:space="preserve">Table 1. </w:t>
      </w:r>
    </w:p>
    <w:tbl>
      <w:tblPr>
        <w:tblStyle w:val="TableGrid"/>
        <w:tblW w:w="0" w:type="auto"/>
        <w:tblBorders>
          <w:top w:val="single" w:sz="4" w:space="0" w:color="99CCFF"/>
          <w:left w:val="single" w:sz="4" w:space="0" w:color="99CCFF"/>
          <w:bottom w:val="single" w:sz="4" w:space="0" w:color="99CCFF"/>
          <w:right w:val="single" w:sz="4" w:space="0" w:color="99CCFF"/>
          <w:insideH w:val="single" w:sz="4" w:space="0" w:color="99CCFF"/>
          <w:insideV w:val="single" w:sz="4" w:space="0" w:color="99CCFF"/>
        </w:tblBorders>
        <w:tblLook w:val="04A0" w:firstRow="1" w:lastRow="0" w:firstColumn="1" w:lastColumn="0" w:noHBand="0" w:noVBand="1"/>
      </w:tblPr>
      <w:tblGrid>
        <w:gridCol w:w="4369"/>
        <w:gridCol w:w="4370"/>
      </w:tblGrid>
      <w:tr w:rsidR="00961266" w14:paraId="44C80F84" w14:textId="77777777" w:rsidTr="00961266">
        <w:tc>
          <w:tcPr>
            <w:tcW w:w="8739" w:type="dxa"/>
            <w:gridSpan w:val="2"/>
          </w:tcPr>
          <w:p w14:paraId="169DF4E1" w14:textId="33A86828" w:rsidR="00961266" w:rsidRPr="00961266" w:rsidRDefault="00961266" w:rsidP="00961266">
            <w:pPr>
              <w:spacing w:after="240"/>
              <w:jc w:val="both"/>
              <w:rPr>
                <w:rFonts w:ascii="Garamond" w:eastAsia="Garamond" w:hAnsi="Garamond" w:cs="Garamond"/>
                <w:b/>
                <w:bCs/>
                <w:color w:val="0070C0"/>
                <w:sz w:val="24"/>
                <w:szCs w:val="24"/>
                <w:lang w:val="en-ID"/>
              </w:rPr>
            </w:pPr>
            <w:r w:rsidRPr="00961266">
              <w:rPr>
                <w:rFonts w:ascii="Garamond" w:eastAsia="Garamond" w:hAnsi="Garamond" w:cs="Garamond"/>
                <w:b/>
                <w:bCs/>
                <w:color w:val="0070C0"/>
                <w:sz w:val="24"/>
                <w:szCs w:val="24"/>
                <w:lang w:val="en-ID"/>
              </w:rPr>
              <w:t>Tabel 1.  Digital Marketing and E-Government Regulatory Framework in Indonesia</w:t>
            </w:r>
          </w:p>
        </w:tc>
      </w:tr>
      <w:tr w:rsidR="00961266" w14:paraId="257EC07D" w14:textId="77777777" w:rsidTr="00961266">
        <w:tc>
          <w:tcPr>
            <w:tcW w:w="4369" w:type="dxa"/>
          </w:tcPr>
          <w:p w14:paraId="4A080222" w14:textId="7E44841A" w:rsidR="00961266" w:rsidRDefault="00961266" w:rsidP="00961266">
            <w:pPr>
              <w:spacing w:after="240"/>
              <w:jc w:val="both"/>
              <w:rPr>
                <w:rFonts w:ascii="Garamond" w:eastAsia="Garamond" w:hAnsi="Garamond" w:cs="Garamond"/>
                <w:color w:val="0070C0"/>
                <w:sz w:val="24"/>
                <w:szCs w:val="24"/>
                <w:lang w:val="en-ID"/>
              </w:rPr>
            </w:pPr>
            <w:r w:rsidRPr="00CD5C71">
              <w:rPr>
                <w:rFonts w:ascii="Garamond" w:eastAsia="Garamond" w:hAnsi="Garamond" w:cs="Garamond"/>
                <w:color w:val="000000"/>
              </w:rPr>
              <w:t>Regulation / Policy Framework</w:t>
            </w:r>
          </w:p>
        </w:tc>
        <w:tc>
          <w:tcPr>
            <w:tcW w:w="4370" w:type="dxa"/>
          </w:tcPr>
          <w:p w14:paraId="3046C19F" w14:textId="258CC6D8" w:rsidR="00961266" w:rsidRDefault="00961266" w:rsidP="00961266">
            <w:pPr>
              <w:spacing w:after="240"/>
              <w:jc w:val="both"/>
              <w:rPr>
                <w:rFonts w:ascii="Garamond" w:eastAsia="Garamond" w:hAnsi="Garamond" w:cs="Garamond"/>
                <w:color w:val="0070C0"/>
                <w:sz w:val="24"/>
                <w:szCs w:val="24"/>
                <w:lang w:val="en-ID"/>
              </w:rPr>
            </w:pPr>
            <w:r w:rsidRPr="00CD5C71">
              <w:rPr>
                <w:rFonts w:ascii="Garamond" w:eastAsia="Garamond" w:hAnsi="Garamond" w:cs="Garamond"/>
                <w:b/>
                <w:color w:val="000000"/>
              </w:rPr>
              <w:t>Core Focus in Digital Governance</w:t>
            </w:r>
          </w:p>
        </w:tc>
      </w:tr>
      <w:tr w:rsidR="00961266" w14:paraId="179F353D" w14:textId="77777777" w:rsidTr="00961266">
        <w:tc>
          <w:tcPr>
            <w:tcW w:w="4369" w:type="dxa"/>
          </w:tcPr>
          <w:p w14:paraId="0AAB3914" w14:textId="24B50770" w:rsidR="00961266" w:rsidRDefault="00961266" w:rsidP="00961266">
            <w:pPr>
              <w:spacing w:after="240"/>
              <w:rPr>
                <w:rFonts w:ascii="Garamond" w:eastAsia="Garamond" w:hAnsi="Garamond" w:cs="Garamond"/>
                <w:color w:val="0070C0"/>
                <w:sz w:val="24"/>
                <w:szCs w:val="24"/>
                <w:lang w:val="en-ID"/>
              </w:rPr>
            </w:pPr>
            <w:r w:rsidRPr="00CF57CC">
              <w:rPr>
                <w:rFonts w:ascii="Garamond" w:eastAsia="Garamond" w:hAnsi="Garamond" w:cs="Garamond"/>
                <w:color w:val="000000"/>
              </w:rPr>
              <w:t>Law No. 1 / 2024 (Second Amendment to Law No. 11 / 2008 on Electronic Information and Transactions - ITE)</w:t>
            </w:r>
          </w:p>
        </w:tc>
        <w:tc>
          <w:tcPr>
            <w:tcW w:w="4370" w:type="dxa"/>
          </w:tcPr>
          <w:p w14:paraId="65B97A8C" w14:textId="4FEB2BA7" w:rsidR="00961266" w:rsidRDefault="00961266" w:rsidP="00961266">
            <w:pPr>
              <w:spacing w:after="240"/>
              <w:jc w:val="both"/>
              <w:rPr>
                <w:rFonts w:ascii="Garamond" w:eastAsia="Garamond" w:hAnsi="Garamond" w:cs="Garamond"/>
                <w:color w:val="0070C0"/>
                <w:sz w:val="24"/>
                <w:szCs w:val="24"/>
                <w:lang w:val="en-ID"/>
              </w:rPr>
            </w:pPr>
            <w:r w:rsidRPr="00CD5C71">
              <w:rPr>
                <w:rFonts w:ascii="Garamond" w:eastAsia="Garamond" w:hAnsi="Garamond" w:cs="Garamond"/>
                <w:color w:val="000000"/>
              </w:rPr>
              <w:t>Legal framework for electronic transactions, automated digital content, and online consumer protection.</w:t>
            </w:r>
          </w:p>
        </w:tc>
      </w:tr>
    </w:tbl>
    <w:p w14:paraId="69E9DF9F" w14:textId="77777777" w:rsidR="005F23E1" w:rsidRDefault="00EB770E">
      <w:pPr>
        <w:pBdr>
          <w:top w:val="nil"/>
          <w:left w:val="nil"/>
          <w:bottom w:val="nil"/>
          <w:right w:val="nil"/>
          <w:between w:val="nil"/>
        </w:pBdr>
        <w:jc w:val="center"/>
        <w:rPr>
          <w:rFonts w:ascii="Garamond" w:eastAsia="Garamond" w:hAnsi="Garamond" w:cs="Garamond"/>
          <w:color w:val="0D0D0D"/>
        </w:rPr>
      </w:pPr>
      <w:r>
        <w:rPr>
          <w:rFonts w:ascii="Garamond" w:eastAsia="Garamond" w:hAnsi="Garamond" w:cs="Garamond"/>
          <w:color w:val="0D0D0D"/>
          <w:sz w:val="16"/>
          <w:szCs w:val="16"/>
        </w:rPr>
        <w:t>source: https.bi.com</w:t>
      </w:r>
    </w:p>
    <w:p w14:paraId="4C34BE89" w14:textId="77777777" w:rsidR="005F23E1" w:rsidRDefault="005F23E1">
      <w:pPr>
        <w:keepNext/>
        <w:keepLines/>
        <w:pBdr>
          <w:top w:val="nil"/>
          <w:left w:val="nil"/>
          <w:bottom w:val="nil"/>
          <w:right w:val="nil"/>
          <w:between w:val="nil"/>
        </w:pBdr>
        <w:spacing w:after="240"/>
        <w:ind w:firstLine="360"/>
        <w:jc w:val="both"/>
        <w:rPr>
          <w:rFonts w:ascii="Garamond" w:eastAsia="Garamond" w:hAnsi="Garamond" w:cs="Garamond"/>
          <w:color w:val="000000"/>
          <w:sz w:val="24"/>
          <w:szCs w:val="24"/>
        </w:rPr>
      </w:pPr>
    </w:p>
    <w:p w14:paraId="1E7E7D91" w14:textId="77777777" w:rsidR="005F23E1" w:rsidRDefault="00EB770E" w:rsidP="00961266">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Discussion (Garamond, 12)</w:t>
      </w:r>
    </w:p>
    <w:p w14:paraId="75A3D773" w14:textId="77777777" w:rsidR="00A26336" w:rsidRPr="00A26336" w:rsidRDefault="00A26336" w:rsidP="00961266">
      <w:pPr>
        <w:pBdr>
          <w:top w:val="nil"/>
          <w:left w:val="nil"/>
          <w:bottom w:val="nil"/>
          <w:right w:val="nil"/>
          <w:between w:val="nil"/>
        </w:pBdr>
        <w:spacing w:after="240"/>
        <w:ind w:firstLine="810"/>
        <w:jc w:val="both"/>
        <w:rPr>
          <w:rFonts w:ascii="Garamond" w:eastAsia="Garamond" w:hAnsi="Garamond" w:cs="Garamond"/>
          <w:color w:val="000000"/>
          <w:sz w:val="24"/>
          <w:szCs w:val="24"/>
        </w:rPr>
      </w:pPr>
      <w:r w:rsidRPr="00A26336">
        <w:rPr>
          <w:rFonts w:ascii="Garamond" w:eastAsia="Garamond" w:hAnsi="Garamond" w:cs="Garamond"/>
          <w:color w:val="000000"/>
          <w:sz w:val="24"/>
          <w:szCs w:val="24"/>
        </w:rPr>
        <w:t>The regulations and policies related to digital communication and data governance in the public sector—such as Law No. 1 of 2024 on Electronic Information and Transactions (EIT Law), Law No. 27 of 2022 on Personal Data Protection (PDP Law), Presidential Regulation No. 95 of 2018 on Electronic-Based Government Systems (SPBE), and Circular Letter No. 9 of 2023 on Artificial Intelligence Ethics—can be directly linked to the core dimensions of Predictive AI Marketing (Tusamma &amp; Muhammad Izzuddin, 2022) within the context of e-government adoption. The principle of Data PR Governance, particularly Organizational Accountability, emphasizes the responsibility of public institutions as data controllers to ensure ethical data practices (Herman &amp; Mohd Yusop, 2021). Within the context of these regulatory frameworks, the mandatory implementation of transparent data policies indicates that municipal authorities must consider privacy preservation and ethical algorithms when executing automated public communication strategies. This aligns closely with the principle of Algorithmic Transparency, which underscores the importance of maintaining clarity and user trust across all automated interactions, including personalized notifications and conversational AI assistance (Wulandari &amp; Jati, 2023). By integrating user privacy controls and ethical AI protocols into digital service platforms, public administrators do not merely optimize technological convenience, but also safeguard civil rights and user data autonomy, mirroring the values of fairness and governance integrity in modern public administration.</w:t>
      </w:r>
    </w:p>
    <w:p w14:paraId="298D4453" w14:textId="77777777" w:rsidR="00A26336" w:rsidRPr="00A26336" w:rsidRDefault="00A26336" w:rsidP="00961266">
      <w:pPr>
        <w:pBdr>
          <w:top w:val="nil"/>
          <w:left w:val="nil"/>
          <w:bottom w:val="nil"/>
          <w:right w:val="nil"/>
          <w:between w:val="nil"/>
        </w:pBdr>
        <w:spacing w:after="240"/>
        <w:ind w:firstLine="810"/>
        <w:jc w:val="both"/>
        <w:rPr>
          <w:rFonts w:ascii="Garamond" w:eastAsia="Garamond" w:hAnsi="Garamond" w:cs="Garamond"/>
          <w:color w:val="000000"/>
          <w:sz w:val="24"/>
          <w:szCs w:val="24"/>
        </w:rPr>
      </w:pPr>
      <w:r w:rsidRPr="00A26336">
        <w:rPr>
          <w:rFonts w:ascii="Garamond" w:eastAsia="Garamond" w:hAnsi="Garamond" w:cs="Garamond"/>
          <w:color w:val="000000"/>
          <w:sz w:val="24"/>
          <w:szCs w:val="24"/>
        </w:rPr>
        <w:t xml:space="preserve">From an empirical and operational perspective, the findings confirm that deploying predictive AI analytics significantly improves user engagement when mediated by algorithmic transparency and perceived system usability. Modern citizens are increasingly accustomed to hyper-personalized digital experiences in commercial e-commerce environments; however, transferring these techniques to the public sector requires delicate balancing between analytical effectiveness and strict data privacy protocols. When municipal agencies utilize predictive machine learning models to analyze citizen behavioral patterns, it enables real-time content customization, automated query resolution via conversational agents, and proactive service recommendations. Nevertheless, as highlighted by recent adoption literature, user acceptance hinges on the institution's ability to demystify automated decision-making. Clear disclosures regarding how citizen data is processed not only reduce psychological resistance and privacy </w:t>
      </w:r>
      <w:r w:rsidRPr="00A26336">
        <w:rPr>
          <w:rFonts w:ascii="Garamond" w:eastAsia="Garamond" w:hAnsi="Garamond" w:cs="Garamond"/>
          <w:color w:val="000000"/>
          <w:sz w:val="24"/>
          <w:szCs w:val="24"/>
        </w:rPr>
        <w:lastRenderedPageBreak/>
        <w:t>anxiety, but also foster a positive feedback loop that accelerates continuous e-service utilization across diverse demographic groups.</w:t>
      </w:r>
    </w:p>
    <w:p w14:paraId="2B82ED36" w14:textId="77777777" w:rsidR="005F23E1" w:rsidRDefault="00A26336" w:rsidP="00961266">
      <w:pPr>
        <w:pBdr>
          <w:top w:val="nil"/>
          <w:left w:val="nil"/>
          <w:bottom w:val="nil"/>
          <w:right w:val="nil"/>
          <w:between w:val="nil"/>
        </w:pBdr>
        <w:spacing w:after="240"/>
        <w:ind w:firstLine="810"/>
        <w:jc w:val="both"/>
        <w:rPr>
          <w:rFonts w:ascii="Garamond" w:eastAsia="Garamond" w:hAnsi="Garamond" w:cs="Garamond"/>
          <w:color w:val="000000"/>
          <w:sz w:val="24"/>
          <w:szCs w:val="24"/>
        </w:rPr>
      </w:pPr>
      <w:r w:rsidRPr="00A26336">
        <w:rPr>
          <w:rFonts w:ascii="Garamond" w:eastAsia="Garamond" w:hAnsi="Garamond" w:cs="Garamond"/>
          <w:color w:val="000000"/>
          <w:sz w:val="24"/>
          <w:szCs w:val="24"/>
        </w:rPr>
        <w:t>Furthermore, integrating regulatory compliance with predictive digital marketing offers a structural solution to the long-standing challenge of public service underutilization in emerging economies like Indonesia. By operationalizing the guidelines set forth in the PDP Law and SPBE roadmap, public institutions transform passive digital repositories into dynamic, user-centric engagement ecosystems. Strategic communication campaigns anchored in data-driven insights allow administrators to target underrepresented communities, optimize administrative touchpoints, and streamline public service access. Ultimately, this holistic synthesis of predictive AI capabilities, ethical data governance, and strategic public relations establishes a novel paradigm for digital public administration—one where technological innovation directly reinforces public trust, regulatory alignment, and long-term civic participation.</w:t>
      </w:r>
    </w:p>
    <w:p w14:paraId="58D2E7EA" w14:textId="77777777" w:rsidR="005F23E1" w:rsidRDefault="00EB770E" w:rsidP="00961266">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Conclusion (Garamond, 12)</w:t>
      </w:r>
    </w:p>
    <w:p w14:paraId="2E17D7CC" w14:textId="77777777" w:rsidR="005F23E1" w:rsidRDefault="00A26336" w:rsidP="00961266">
      <w:pPr>
        <w:pBdr>
          <w:top w:val="nil"/>
          <w:left w:val="nil"/>
          <w:bottom w:val="nil"/>
          <w:right w:val="nil"/>
          <w:between w:val="nil"/>
        </w:pBdr>
        <w:spacing w:after="240"/>
        <w:ind w:firstLine="810"/>
        <w:jc w:val="both"/>
        <w:rPr>
          <w:rFonts w:ascii="Garamond" w:eastAsia="Garamond" w:hAnsi="Garamond" w:cs="Garamond"/>
          <w:color w:val="000000"/>
          <w:sz w:val="24"/>
          <w:szCs w:val="24"/>
        </w:rPr>
      </w:pPr>
      <w:r w:rsidRPr="00A26336">
        <w:rPr>
          <w:rFonts w:ascii="Garamond" w:eastAsia="Garamond" w:hAnsi="Garamond" w:cs="Garamond"/>
          <w:color w:val="000000"/>
          <w:sz w:val="24"/>
          <w:szCs w:val="24"/>
        </w:rPr>
        <w:t>The integration of predictive AI analytics and ethical Data Governance in e-government digital marketing practices has a significant positive impact on driving citizen service adoption and supporting long-term public trust. Predictive AI-based digital marketing practices, as reflected in regulatory frameworks such as Law No. 27 of 2022 on Personal Data Protection and Presidential Regulation No. 95 of 2018 on SPBE, indicate a strong institutional commitment to considering algorithmic transparency and user privacy in public communication strategies, in accordance with the core values of digital governance which emphasize ethical responsibility and user-centricity. The significance of these findings also includes the contribution of municipal agencies in improving the reputation and public image of the public administration sector through the implementation of data-driven outreach that focuses on transparency and accessibility.</w:t>
      </w:r>
      <w:r>
        <w:rPr>
          <w:rFonts w:ascii="Garamond" w:eastAsia="Garamond" w:hAnsi="Garamond" w:cs="Garamond"/>
          <w:color w:val="000000"/>
          <w:sz w:val="24"/>
          <w:szCs w:val="24"/>
        </w:rPr>
        <w:t xml:space="preserve"> </w:t>
      </w:r>
      <w:r w:rsidRPr="00A26336">
        <w:rPr>
          <w:rFonts w:ascii="Garamond" w:eastAsia="Garamond" w:hAnsi="Garamond" w:cs="Garamond"/>
          <w:color w:val="000000"/>
          <w:sz w:val="24"/>
          <w:szCs w:val="24"/>
        </w:rPr>
        <w:t>However, limitations of this research include challenges in policy execution that may be affected by differing technological infrastructure, administrative readiness, and socio-economic conditions across various regional municipal contexts, as well as the inherent complexity in measuring and evaluating the direct impact of algorithmic personalization on citizen behavioral outcomes. Therefore, further steps and future research are needed to strengthen the implementation of data-driven digital marketing practices and increase transparency in algorithmic reporting to effectively achieve public service transformation goals in the future.</w:t>
      </w:r>
    </w:p>
    <w:p w14:paraId="63BE7424" w14:textId="77777777" w:rsidR="005F23E1" w:rsidRDefault="00EB770E" w:rsidP="00961266">
      <w:pPr>
        <w:pStyle w:val="Heading2"/>
        <w:numPr>
          <w:ilvl w:val="0"/>
          <w:numId w:val="2"/>
        </w:numPr>
        <w:pBdr>
          <w:top w:val="single" w:sz="24" w:space="0" w:color="CCECFF"/>
          <w:left w:val="single" w:sz="24" w:space="0" w:color="CCECFF"/>
          <w:bottom w:val="single" w:sz="24" w:space="0" w:color="CCECFF"/>
          <w:right w:val="single" w:sz="24" w:space="0" w:color="CCECFF"/>
        </w:pBdr>
        <w:shd w:val="clear" w:color="auto" w:fill="CCECFF"/>
        <w:ind w:left="567" w:hanging="436"/>
      </w:pPr>
      <w:r>
        <w:t xml:space="preserve">References (Garamond, 12, </w:t>
      </w:r>
      <w:r>
        <w:rPr>
          <w:rFonts w:ascii="Times New Roman" w:eastAsia="Times New Roman" w:hAnsi="Times New Roman" w:cs="Times New Roman"/>
          <w:sz w:val="24"/>
          <w:szCs w:val="24"/>
        </w:rPr>
        <w:t>APA 7th edition</w:t>
      </w:r>
      <w:r>
        <w:t>)</w:t>
      </w:r>
    </w:p>
    <w:p w14:paraId="1C7A6A6A" w14:textId="77777777" w:rsidR="00A26336" w:rsidRPr="00A26336" w:rsidRDefault="00A26336" w:rsidP="00A26336">
      <w:pPr>
        <w:ind w:hanging="480"/>
        <w:jc w:val="both"/>
        <w:rPr>
          <w:rFonts w:ascii="Garamond" w:eastAsia="Garamond" w:hAnsi="Garamond" w:cs="Garamond"/>
        </w:rPr>
      </w:pPr>
    </w:p>
    <w:p w14:paraId="1F51161D"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Afif, M. (2017). Ethical dimensions in modern digital communications and data governance. </w:t>
      </w:r>
      <w:r w:rsidRPr="00A26336">
        <w:rPr>
          <w:rFonts w:ascii="Garamond" w:hAnsi="Garamond"/>
          <w:i/>
          <w:iCs/>
          <w:sz w:val="20"/>
          <w:szCs w:val="20"/>
        </w:rPr>
        <w:t>Journal of Interactive Marketing</w:t>
      </w:r>
      <w:r w:rsidRPr="00A26336">
        <w:rPr>
          <w:rFonts w:ascii="Garamond" w:hAnsi="Garamond"/>
          <w:sz w:val="20"/>
          <w:szCs w:val="20"/>
        </w:rPr>
        <w:t xml:space="preserve">, 22(3), 145–158. </w:t>
      </w:r>
      <w:hyperlink r:id="rId8" w:tgtFrame="_blank" w:history="1">
        <w:r w:rsidRPr="00912567">
          <w:rPr>
            <w:rStyle w:val="Hyperlink"/>
            <w:rFonts w:ascii="Garamond" w:hAnsi="Garamond"/>
            <w:color w:val="0066FF"/>
            <w:sz w:val="20"/>
            <w:szCs w:val="20"/>
          </w:rPr>
          <w:t>https://doi.org/10.1016/j.intmar.2017.04.002</w:t>
        </w:r>
      </w:hyperlink>
    </w:p>
    <w:p w14:paraId="04CA1375"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Amelia, R. (2023). Strategic public relations and consumer trust in automated platforms. </w:t>
      </w:r>
      <w:r w:rsidRPr="00A26336">
        <w:rPr>
          <w:rFonts w:ascii="Garamond" w:hAnsi="Garamond"/>
          <w:i/>
          <w:iCs/>
          <w:sz w:val="20"/>
          <w:szCs w:val="20"/>
        </w:rPr>
        <w:t>International Journal of Digital Communication</w:t>
      </w:r>
      <w:r w:rsidRPr="00A26336">
        <w:rPr>
          <w:rFonts w:ascii="Garamond" w:hAnsi="Garamond"/>
          <w:sz w:val="20"/>
          <w:szCs w:val="20"/>
        </w:rPr>
        <w:t xml:space="preserve">, 11(2), 89–102. </w:t>
      </w:r>
      <w:hyperlink r:id="rId9" w:tgtFrame="_blank" w:history="1">
        <w:r w:rsidRPr="00912567">
          <w:rPr>
            <w:rStyle w:val="Hyperlink"/>
            <w:rFonts w:ascii="Garamond" w:hAnsi="Garamond"/>
            <w:color w:val="0066FF"/>
            <w:sz w:val="20"/>
            <w:szCs w:val="20"/>
          </w:rPr>
          <w:t>https://doi.org/10.1080/15332691.2023.2189012</w:t>
        </w:r>
      </w:hyperlink>
    </w:p>
    <w:p w14:paraId="57591677"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lastRenderedPageBreak/>
        <w:t xml:space="preserve">Amran, A., Zainon, S. V., &amp; Othman, R. (2013). Corporate stakeholder management in the digital age: A governance perspective. </w:t>
      </w:r>
      <w:r w:rsidRPr="00A26336">
        <w:rPr>
          <w:rFonts w:ascii="Garamond" w:hAnsi="Garamond"/>
          <w:i/>
          <w:iCs/>
          <w:sz w:val="20"/>
          <w:szCs w:val="20"/>
        </w:rPr>
        <w:t>Corporate Social Responsibility and Environmental Management</w:t>
      </w:r>
      <w:r w:rsidRPr="00A26336">
        <w:rPr>
          <w:rFonts w:ascii="Garamond" w:hAnsi="Garamond"/>
          <w:sz w:val="20"/>
          <w:szCs w:val="20"/>
        </w:rPr>
        <w:t xml:space="preserve">, 20(4), 211–222. </w:t>
      </w:r>
      <w:hyperlink r:id="rId10" w:tgtFrame="_blank" w:history="1">
        <w:r w:rsidRPr="00912567">
          <w:rPr>
            <w:rStyle w:val="Hyperlink"/>
            <w:rFonts w:ascii="Garamond" w:hAnsi="Garamond"/>
            <w:color w:val="0066FF"/>
            <w:sz w:val="20"/>
            <w:szCs w:val="20"/>
          </w:rPr>
          <w:t>https://doi.org/10.1002/csr.1290</w:t>
        </w:r>
      </w:hyperlink>
    </w:p>
    <w:p w14:paraId="0FBFBE75"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Cahyadin, M., Sarmidi, T., &amp; Nurrachma, E. A. (2020). The readiness of public sector institutions in Indonesia to implement digital and automated service systems. </w:t>
      </w:r>
      <w:r w:rsidRPr="00A26336">
        <w:rPr>
          <w:rFonts w:ascii="Garamond" w:hAnsi="Garamond"/>
          <w:i/>
          <w:iCs/>
          <w:sz w:val="20"/>
          <w:szCs w:val="20"/>
        </w:rPr>
        <w:t>Jurnal Ekonomi Pembangunan: Kajian Masalah Ekonomi Dan Pembangunan</w:t>
      </w:r>
      <w:r w:rsidRPr="00A26336">
        <w:rPr>
          <w:rFonts w:ascii="Garamond" w:hAnsi="Garamond"/>
          <w:sz w:val="20"/>
          <w:szCs w:val="20"/>
        </w:rPr>
        <w:t xml:space="preserve">, 20(2), 178–190. </w:t>
      </w:r>
      <w:hyperlink r:id="rId11" w:tgtFrame="_blank" w:history="1">
        <w:r w:rsidRPr="00912567">
          <w:rPr>
            <w:rStyle w:val="Hyperlink"/>
            <w:rFonts w:ascii="Garamond" w:hAnsi="Garamond"/>
            <w:color w:val="0066FF"/>
            <w:sz w:val="20"/>
            <w:szCs w:val="20"/>
          </w:rPr>
          <w:t>https://doi.org/10.23917/jep.v20i2.6757</w:t>
        </w:r>
      </w:hyperlink>
    </w:p>
    <w:p w14:paraId="49FA3F35"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Davis, F. D. (1989). Perceived usefulness, perceived ease of use, and user acceptance of information technology. </w:t>
      </w:r>
      <w:r w:rsidRPr="00A26336">
        <w:rPr>
          <w:rFonts w:ascii="Garamond" w:hAnsi="Garamond"/>
          <w:i/>
          <w:iCs/>
          <w:sz w:val="20"/>
          <w:szCs w:val="20"/>
        </w:rPr>
        <w:t>MIS Quarterly</w:t>
      </w:r>
      <w:r w:rsidRPr="00A26336">
        <w:rPr>
          <w:rFonts w:ascii="Garamond" w:hAnsi="Garamond"/>
          <w:sz w:val="20"/>
          <w:szCs w:val="20"/>
        </w:rPr>
        <w:t xml:space="preserve">, 13(3), 319–340. </w:t>
      </w:r>
      <w:hyperlink r:id="rId12" w:tgtFrame="_blank" w:history="1">
        <w:r w:rsidRPr="00912567">
          <w:rPr>
            <w:rStyle w:val="Hyperlink"/>
            <w:rFonts w:ascii="Garamond" w:hAnsi="Garamond"/>
            <w:color w:val="0066FF"/>
            <w:sz w:val="20"/>
            <w:szCs w:val="20"/>
          </w:rPr>
          <w:t>https://doi.org/10.2307/249008</w:t>
        </w:r>
      </w:hyperlink>
    </w:p>
    <w:p w14:paraId="2057B0A5"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Deegan, C. (2019). Legitimacy Theory: Despite its many detractors, it has served its purpose well in explaining organizational disclosures. </w:t>
      </w:r>
      <w:r w:rsidRPr="00A26336">
        <w:rPr>
          <w:rFonts w:ascii="Garamond" w:hAnsi="Garamond"/>
          <w:i/>
          <w:iCs/>
          <w:sz w:val="20"/>
          <w:szCs w:val="20"/>
        </w:rPr>
        <w:t>Accounting, Auditing &amp; Accountability Journal</w:t>
      </w:r>
      <w:r w:rsidRPr="00A26336">
        <w:rPr>
          <w:rFonts w:ascii="Garamond" w:hAnsi="Garamond"/>
          <w:sz w:val="20"/>
          <w:szCs w:val="20"/>
        </w:rPr>
        <w:t xml:space="preserve">, 32(8), 2307–2329. </w:t>
      </w:r>
      <w:hyperlink r:id="rId13" w:tgtFrame="_blank" w:history="1">
        <w:r w:rsidRPr="00912567">
          <w:rPr>
            <w:rStyle w:val="Hyperlink"/>
            <w:rFonts w:ascii="Garamond" w:hAnsi="Garamond"/>
            <w:color w:val="0066FF"/>
            <w:sz w:val="20"/>
            <w:szCs w:val="20"/>
          </w:rPr>
          <w:t>https://doi.org/10.1108/AAAJ-08-2018-3632</w:t>
        </w:r>
      </w:hyperlink>
    </w:p>
    <w:p w14:paraId="5F205BFE"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Ganesan, M., &amp; Guru, K. (2021). Predictive marketing analytics and automated customer relations. </w:t>
      </w:r>
      <w:r w:rsidRPr="00A26336">
        <w:rPr>
          <w:rFonts w:ascii="Garamond" w:hAnsi="Garamond"/>
          <w:i/>
          <w:iCs/>
          <w:sz w:val="20"/>
          <w:szCs w:val="20"/>
        </w:rPr>
        <w:t>Journal of Business Research</w:t>
      </w:r>
      <w:r w:rsidRPr="00A26336">
        <w:rPr>
          <w:rFonts w:ascii="Garamond" w:hAnsi="Garamond"/>
          <w:sz w:val="20"/>
          <w:szCs w:val="20"/>
        </w:rPr>
        <w:t xml:space="preserve">, 134, 412–425. </w:t>
      </w:r>
      <w:hyperlink r:id="rId14" w:tgtFrame="_blank" w:history="1">
        <w:r w:rsidRPr="00912567">
          <w:rPr>
            <w:rStyle w:val="Hyperlink"/>
            <w:rFonts w:ascii="Garamond" w:hAnsi="Garamond"/>
            <w:color w:val="0066FF"/>
            <w:sz w:val="20"/>
            <w:szCs w:val="20"/>
          </w:rPr>
          <w:t>https://doi.org/10.1016/j.jbusres.2021.05.044</w:t>
        </w:r>
      </w:hyperlink>
    </w:p>
    <w:p w14:paraId="777605FF"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Gulzar, R., Bhat, A. A., Mir, A. A., Athari, S. A., &amp; Al-Adwan, A. S. (2024). Digital marketing strategies and public service adoption: Navigating sustainability in public administration. </w:t>
      </w:r>
      <w:r w:rsidRPr="00A26336">
        <w:rPr>
          <w:rFonts w:ascii="Garamond" w:hAnsi="Garamond"/>
          <w:i/>
          <w:iCs/>
          <w:sz w:val="20"/>
          <w:szCs w:val="20"/>
        </w:rPr>
        <w:t>Environmental Science and Pollution Research</w:t>
      </w:r>
      <w:r w:rsidRPr="00A26336">
        <w:rPr>
          <w:rFonts w:ascii="Garamond" w:hAnsi="Garamond"/>
          <w:sz w:val="20"/>
          <w:szCs w:val="20"/>
        </w:rPr>
        <w:t xml:space="preserve">, 31(15), 22104–22118. </w:t>
      </w:r>
      <w:hyperlink r:id="rId15" w:tgtFrame="_blank" w:history="1">
        <w:r w:rsidRPr="00912567">
          <w:rPr>
            <w:rStyle w:val="Hyperlink"/>
            <w:rFonts w:ascii="Garamond" w:hAnsi="Garamond"/>
            <w:color w:val="0066FF"/>
            <w:sz w:val="20"/>
            <w:szCs w:val="20"/>
          </w:rPr>
          <w:t>https://doi.org/10.1007/s11356-024-32418-7</w:t>
        </w:r>
      </w:hyperlink>
    </w:p>
    <w:p w14:paraId="05D108F8"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Hassan, A., &amp; Syafri Harahap, S. (2010). Exploring digital communication transparency and public disclosure: The case of public institutions. </w:t>
      </w:r>
      <w:r w:rsidRPr="00A26336">
        <w:rPr>
          <w:rFonts w:ascii="Garamond" w:hAnsi="Garamond"/>
          <w:i/>
          <w:iCs/>
          <w:sz w:val="20"/>
          <w:szCs w:val="20"/>
        </w:rPr>
        <w:t>International Journal of Islamic and Middle Eastern Finance and Management</w:t>
      </w:r>
      <w:r w:rsidRPr="00A26336">
        <w:rPr>
          <w:rFonts w:ascii="Garamond" w:hAnsi="Garamond"/>
          <w:sz w:val="20"/>
          <w:szCs w:val="20"/>
        </w:rPr>
        <w:t xml:space="preserve">, 3(3), 203–227. </w:t>
      </w:r>
      <w:hyperlink r:id="rId16" w:tgtFrame="_blank" w:history="1">
        <w:r w:rsidRPr="00912567">
          <w:rPr>
            <w:rStyle w:val="Hyperlink"/>
            <w:rFonts w:ascii="Garamond" w:hAnsi="Garamond"/>
            <w:color w:val="0066FF"/>
            <w:sz w:val="20"/>
            <w:szCs w:val="20"/>
          </w:rPr>
          <w:t>https://doi.org/10.1108/17538391011072417</w:t>
        </w:r>
      </w:hyperlink>
    </w:p>
    <w:p w14:paraId="3F51B2FD"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Herman, S., &amp; Mohd Yusop, M. M. B. (2021). Revisiting accountability approaches in modern governance: A critical review. </w:t>
      </w:r>
      <w:r w:rsidRPr="00A26336">
        <w:rPr>
          <w:rFonts w:ascii="Garamond" w:hAnsi="Garamond"/>
          <w:i/>
          <w:iCs/>
          <w:sz w:val="20"/>
          <w:szCs w:val="20"/>
        </w:rPr>
        <w:t>AL-FALAH: Journal of Islamic Economics</w:t>
      </w:r>
      <w:r w:rsidRPr="00A26336">
        <w:rPr>
          <w:rFonts w:ascii="Garamond" w:hAnsi="Garamond"/>
          <w:sz w:val="20"/>
          <w:szCs w:val="20"/>
        </w:rPr>
        <w:t xml:space="preserve">, 6(1), 45–62. </w:t>
      </w:r>
      <w:hyperlink r:id="rId17" w:tgtFrame="_blank" w:history="1">
        <w:r w:rsidRPr="00912567">
          <w:rPr>
            <w:rStyle w:val="Hyperlink"/>
            <w:rFonts w:ascii="Garamond" w:hAnsi="Garamond"/>
            <w:color w:val="0066FF"/>
            <w:sz w:val="20"/>
            <w:szCs w:val="20"/>
          </w:rPr>
          <w:t>https://doi.org/10.29240/alfalah.v6i1.2904</w:t>
        </w:r>
      </w:hyperlink>
    </w:p>
    <w:p w14:paraId="3C4C63C9"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Ibe, C., &amp; Anthony, O. (2023). Unified theory of acceptance and use of technology in digital public service delivery. </w:t>
      </w:r>
      <w:r w:rsidRPr="00A26336">
        <w:rPr>
          <w:rFonts w:ascii="Garamond" w:hAnsi="Garamond"/>
          <w:i/>
          <w:iCs/>
          <w:sz w:val="20"/>
          <w:szCs w:val="20"/>
        </w:rPr>
        <w:t>Technology in Society</w:t>
      </w:r>
      <w:r w:rsidRPr="00A26336">
        <w:rPr>
          <w:rFonts w:ascii="Garamond" w:hAnsi="Garamond"/>
          <w:sz w:val="20"/>
          <w:szCs w:val="20"/>
        </w:rPr>
        <w:t xml:space="preserve">, 72, Article 102189. </w:t>
      </w:r>
      <w:hyperlink r:id="rId18" w:tgtFrame="_blank" w:history="1">
        <w:r w:rsidRPr="00912567">
          <w:rPr>
            <w:rStyle w:val="Hyperlink"/>
            <w:rFonts w:ascii="Garamond" w:hAnsi="Garamond"/>
            <w:color w:val="0066FF"/>
            <w:sz w:val="20"/>
            <w:szCs w:val="20"/>
          </w:rPr>
          <w:t>https://doi.org/10.1016/j.techsoc.2022.102189</w:t>
        </w:r>
      </w:hyperlink>
    </w:p>
    <w:p w14:paraId="599CE19F"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Ikeke, M. O. (2020). Deep engagement frameworks in citizen-centric e-government platforms. </w:t>
      </w:r>
      <w:r w:rsidRPr="00A26336">
        <w:rPr>
          <w:rFonts w:ascii="Garamond" w:hAnsi="Garamond"/>
          <w:i/>
          <w:iCs/>
          <w:sz w:val="20"/>
          <w:szCs w:val="20"/>
        </w:rPr>
        <w:t>Journal of Public Affairs</w:t>
      </w:r>
      <w:r w:rsidRPr="00A26336">
        <w:rPr>
          <w:rFonts w:ascii="Garamond" w:hAnsi="Garamond"/>
          <w:sz w:val="20"/>
          <w:szCs w:val="20"/>
        </w:rPr>
        <w:t xml:space="preserve">, 20(3), Article e2078. </w:t>
      </w:r>
      <w:hyperlink r:id="rId19" w:tgtFrame="_blank" w:history="1">
        <w:r w:rsidRPr="00912567">
          <w:rPr>
            <w:rStyle w:val="Hyperlink"/>
            <w:rFonts w:ascii="Garamond" w:hAnsi="Garamond"/>
            <w:color w:val="0066FF"/>
            <w:sz w:val="20"/>
            <w:szCs w:val="20"/>
          </w:rPr>
          <w:t>https://doi.org/10.1002/pa.2078</w:t>
        </w:r>
      </w:hyperlink>
    </w:p>
    <w:p w14:paraId="7288752A"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t xml:space="preserve">Iryani, L. D., &amp; Laela, S. F. (2021). The influence of digital governance and transparent communication on service performance. </w:t>
      </w:r>
      <w:r w:rsidRPr="00A26336">
        <w:rPr>
          <w:rFonts w:ascii="Garamond" w:hAnsi="Garamond"/>
          <w:i/>
          <w:iCs/>
          <w:sz w:val="20"/>
          <w:szCs w:val="20"/>
        </w:rPr>
        <w:t>Journal of Digital Marketing and Communication</w:t>
      </w:r>
      <w:r w:rsidRPr="00A26336">
        <w:rPr>
          <w:rFonts w:ascii="Garamond" w:hAnsi="Garamond"/>
          <w:sz w:val="20"/>
          <w:szCs w:val="20"/>
        </w:rPr>
        <w:t xml:space="preserve">, 9(1), 33–47. </w:t>
      </w:r>
      <w:hyperlink r:id="rId20" w:tgtFrame="_blank" w:history="1">
        <w:r w:rsidRPr="00912567">
          <w:rPr>
            <w:rStyle w:val="Hyperlink"/>
            <w:rFonts w:ascii="Garamond" w:hAnsi="Garamond"/>
            <w:color w:val="0066FF"/>
            <w:sz w:val="20"/>
            <w:szCs w:val="20"/>
          </w:rPr>
          <w:t>https://doi.org/10.21009/jdmc.v9i1.21890</w:t>
        </w:r>
      </w:hyperlink>
    </w:p>
    <w:p w14:paraId="7803B561"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Khairunnessa, F., Vazquez-Brust, D. A., &amp; Yakovleva, N. (2021). A review of the recent developments of data-driven marketing policies and regulations. </w:t>
      </w:r>
      <w:r w:rsidRPr="00A26336">
        <w:rPr>
          <w:rFonts w:ascii="Garamond" w:hAnsi="Garamond"/>
          <w:i/>
          <w:iCs/>
          <w:sz w:val="20"/>
          <w:szCs w:val="20"/>
        </w:rPr>
        <w:t>Sustainability</w:t>
      </w:r>
      <w:r w:rsidRPr="00A26336">
        <w:rPr>
          <w:rFonts w:ascii="Garamond" w:hAnsi="Garamond"/>
          <w:sz w:val="20"/>
          <w:szCs w:val="20"/>
        </w:rPr>
        <w:t xml:space="preserve">, 13(4), Article 1904. </w:t>
      </w:r>
      <w:hyperlink r:id="rId21" w:tgtFrame="_blank" w:history="1">
        <w:r w:rsidRPr="00912567">
          <w:rPr>
            <w:rStyle w:val="Hyperlink"/>
            <w:rFonts w:ascii="Garamond" w:hAnsi="Garamond"/>
            <w:color w:val="0066FF"/>
            <w:sz w:val="20"/>
            <w:szCs w:val="20"/>
          </w:rPr>
          <w:t>https://doi.org/10.3390/su13041904</w:t>
        </w:r>
      </w:hyperlink>
    </w:p>
    <w:p w14:paraId="41524472"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Mahajan, S., Gupta, P., &amp; Sharma, A. (2023). Stakeholder orientation and dynamic capabilities in AI-driven digital ecosystems. </w:t>
      </w:r>
      <w:r w:rsidRPr="00A26336">
        <w:rPr>
          <w:rFonts w:ascii="Garamond" w:hAnsi="Garamond"/>
          <w:i/>
          <w:iCs/>
          <w:sz w:val="20"/>
          <w:szCs w:val="20"/>
        </w:rPr>
        <w:t>Industrial Marketing Management</w:t>
      </w:r>
      <w:r w:rsidRPr="00A26336">
        <w:rPr>
          <w:rFonts w:ascii="Garamond" w:hAnsi="Garamond"/>
          <w:sz w:val="20"/>
          <w:szCs w:val="20"/>
        </w:rPr>
        <w:t xml:space="preserve">, 109, 115–129. </w:t>
      </w:r>
      <w:hyperlink r:id="rId22" w:tgtFrame="_blank" w:history="1">
        <w:r w:rsidRPr="00912567">
          <w:rPr>
            <w:rStyle w:val="Hyperlink"/>
            <w:rFonts w:ascii="Garamond" w:hAnsi="Garamond"/>
            <w:color w:val="0066FF"/>
            <w:sz w:val="20"/>
            <w:szCs w:val="20"/>
          </w:rPr>
          <w:t>https://doi.org/10.1016/j.indmarman.2022.12.015</w:t>
        </w:r>
      </w:hyperlink>
    </w:p>
    <w:p w14:paraId="0C18AD26"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McIntosh, W. (2000). Strategic communication responsibility toward public stakeholders. </w:t>
      </w:r>
      <w:r w:rsidRPr="00A26336">
        <w:rPr>
          <w:rFonts w:ascii="Garamond" w:hAnsi="Garamond"/>
          <w:i/>
          <w:iCs/>
          <w:sz w:val="20"/>
          <w:szCs w:val="20"/>
        </w:rPr>
        <w:t>Public Relations Review</w:t>
      </w:r>
      <w:r w:rsidRPr="00A26336">
        <w:rPr>
          <w:rFonts w:ascii="Garamond" w:hAnsi="Garamond"/>
          <w:sz w:val="20"/>
          <w:szCs w:val="20"/>
        </w:rPr>
        <w:t xml:space="preserve">, 26(2), 155–170. </w:t>
      </w:r>
      <w:hyperlink r:id="rId23" w:tgtFrame="_blank" w:history="1">
        <w:r w:rsidRPr="00912567">
          <w:rPr>
            <w:rStyle w:val="Hyperlink"/>
            <w:rFonts w:ascii="Garamond" w:hAnsi="Garamond"/>
            <w:color w:val="0066FF"/>
            <w:sz w:val="20"/>
            <w:szCs w:val="20"/>
          </w:rPr>
          <w:t>https://doi.org/10.1016/S0363-8111(00)00038-0</w:t>
        </w:r>
      </w:hyperlink>
    </w:p>
    <w:p w14:paraId="29B73537"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Mir, A. A., &amp; Bhat, A. A. (2022). Predictive analytics and service adoption: A review of data-driven marketing workflows. </w:t>
      </w:r>
      <w:r w:rsidRPr="00A26336">
        <w:rPr>
          <w:rFonts w:ascii="Garamond" w:hAnsi="Garamond"/>
          <w:i/>
          <w:iCs/>
          <w:sz w:val="20"/>
          <w:szCs w:val="20"/>
        </w:rPr>
        <w:t>Arab Gulf Journal of Scientific Research</w:t>
      </w:r>
      <w:r w:rsidRPr="00A26336">
        <w:rPr>
          <w:rFonts w:ascii="Garamond" w:hAnsi="Garamond"/>
          <w:sz w:val="20"/>
          <w:szCs w:val="20"/>
        </w:rPr>
        <w:t xml:space="preserve">, 40(3), 241–258. </w:t>
      </w:r>
      <w:hyperlink r:id="rId24" w:tgtFrame="_blank" w:history="1">
        <w:r w:rsidRPr="00912567">
          <w:rPr>
            <w:rStyle w:val="Hyperlink"/>
            <w:rFonts w:ascii="Garamond" w:hAnsi="Garamond"/>
            <w:color w:val="0066FF"/>
            <w:sz w:val="20"/>
            <w:szCs w:val="20"/>
          </w:rPr>
          <w:t>https://doi.org/10.1108/AGJSR-04-2022-0017</w:t>
        </w:r>
      </w:hyperlink>
    </w:p>
    <w:p w14:paraId="74815179"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Ouis, P. (1998). Ecosystems and public administration communication models. </w:t>
      </w:r>
      <w:r w:rsidRPr="00A26336">
        <w:rPr>
          <w:rFonts w:ascii="Garamond" w:hAnsi="Garamond"/>
          <w:i/>
          <w:iCs/>
          <w:sz w:val="20"/>
          <w:szCs w:val="20"/>
        </w:rPr>
        <w:t>Environmental Management</w:t>
      </w:r>
      <w:r w:rsidRPr="00A26336">
        <w:rPr>
          <w:rFonts w:ascii="Garamond" w:hAnsi="Garamond"/>
          <w:sz w:val="20"/>
          <w:szCs w:val="20"/>
        </w:rPr>
        <w:t xml:space="preserve">, 22(5), 675–688. </w:t>
      </w:r>
      <w:hyperlink r:id="rId25" w:tgtFrame="_blank" w:history="1">
        <w:r w:rsidRPr="00912567">
          <w:rPr>
            <w:rStyle w:val="Hyperlink"/>
            <w:rFonts w:ascii="Garamond" w:hAnsi="Garamond"/>
            <w:color w:val="0066FF"/>
            <w:sz w:val="20"/>
            <w:szCs w:val="20"/>
          </w:rPr>
          <w:t>https://doi.org/10.1007/s002679900138</w:t>
        </w:r>
      </w:hyperlink>
    </w:p>
    <w:p w14:paraId="201F8EA3" w14:textId="77777777" w:rsidR="00A26336" w:rsidRPr="00A26336" w:rsidRDefault="00A26336" w:rsidP="00912567">
      <w:pPr>
        <w:pStyle w:val="NormalWeb"/>
        <w:ind w:left="426" w:hanging="426"/>
        <w:rPr>
          <w:rFonts w:ascii="Garamond" w:hAnsi="Garamond"/>
          <w:sz w:val="20"/>
          <w:szCs w:val="20"/>
        </w:rPr>
      </w:pPr>
      <w:r w:rsidRPr="00A26336">
        <w:rPr>
          <w:rFonts w:ascii="Garamond" w:hAnsi="Garamond"/>
          <w:sz w:val="20"/>
          <w:szCs w:val="20"/>
        </w:rPr>
        <w:lastRenderedPageBreak/>
        <w:t xml:space="preserve">Porter, M. E., &amp; Kramer, M. R. (2011). Creating shared value: How to reinvent capitalism and unleash a wave of innovation and growth. </w:t>
      </w:r>
      <w:r w:rsidRPr="00A26336">
        <w:rPr>
          <w:rFonts w:ascii="Garamond" w:hAnsi="Garamond"/>
          <w:i/>
          <w:iCs/>
          <w:sz w:val="20"/>
          <w:szCs w:val="20"/>
        </w:rPr>
        <w:t>Harvard Business Review</w:t>
      </w:r>
      <w:r w:rsidRPr="00A26336">
        <w:rPr>
          <w:rFonts w:ascii="Garamond" w:hAnsi="Garamond"/>
          <w:sz w:val="20"/>
          <w:szCs w:val="20"/>
        </w:rPr>
        <w:t>, 89(1–2), 62–77.</w:t>
      </w:r>
    </w:p>
    <w:p w14:paraId="75AFCA78"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Quddus, A. (2017). Citizen engagement models in electronic public service delivery. </w:t>
      </w:r>
      <w:r w:rsidRPr="00A26336">
        <w:rPr>
          <w:rFonts w:ascii="Garamond" w:hAnsi="Garamond"/>
          <w:i/>
          <w:iCs/>
          <w:sz w:val="20"/>
          <w:szCs w:val="20"/>
        </w:rPr>
        <w:t>Information Development</w:t>
      </w:r>
      <w:r w:rsidRPr="00A26336">
        <w:rPr>
          <w:rFonts w:ascii="Garamond" w:hAnsi="Garamond"/>
          <w:sz w:val="20"/>
          <w:szCs w:val="20"/>
        </w:rPr>
        <w:t xml:space="preserve">, 33(4), 389–401. </w:t>
      </w:r>
      <w:hyperlink r:id="rId26" w:tgtFrame="_blank" w:history="1">
        <w:r w:rsidRPr="00912567">
          <w:rPr>
            <w:rStyle w:val="Hyperlink"/>
            <w:rFonts w:ascii="Garamond" w:hAnsi="Garamond"/>
            <w:color w:val="0066FF"/>
            <w:sz w:val="20"/>
            <w:szCs w:val="20"/>
          </w:rPr>
          <w:t>https://doi.org/10.1177/0266666916668902</w:t>
        </w:r>
      </w:hyperlink>
    </w:p>
    <w:p w14:paraId="73F753D4"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Rahmayati, S., Hidayat, R., &amp; Permana, A. (2022). Digital public relations in public sector administration: A strategic evaluation. </w:t>
      </w:r>
      <w:r w:rsidRPr="00A26336">
        <w:rPr>
          <w:rFonts w:ascii="Garamond" w:hAnsi="Garamond"/>
          <w:i/>
          <w:iCs/>
          <w:sz w:val="20"/>
          <w:szCs w:val="20"/>
        </w:rPr>
        <w:t>Journal of Media and Communication Studies</w:t>
      </w:r>
      <w:r w:rsidRPr="00A26336">
        <w:rPr>
          <w:rFonts w:ascii="Garamond" w:hAnsi="Garamond"/>
          <w:sz w:val="20"/>
          <w:szCs w:val="20"/>
        </w:rPr>
        <w:t xml:space="preserve">, 14(2), 45–58. </w:t>
      </w:r>
      <w:hyperlink r:id="rId27" w:tgtFrame="_blank" w:history="1">
        <w:r w:rsidRPr="00912567">
          <w:rPr>
            <w:rStyle w:val="Hyperlink"/>
            <w:rFonts w:ascii="Garamond" w:hAnsi="Garamond"/>
            <w:color w:val="0066FF"/>
            <w:sz w:val="20"/>
            <w:szCs w:val="20"/>
          </w:rPr>
          <w:t>https://doi.org/10.5897/JMCS2022.0765</w:t>
        </w:r>
      </w:hyperlink>
    </w:p>
    <w:p w14:paraId="7257DE21"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Rakhmat, M. (2022). Digital public transformation and user trust in municipal platforms. </w:t>
      </w:r>
      <w:r w:rsidRPr="00A26336">
        <w:rPr>
          <w:rFonts w:ascii="Garamond" w:hAnsi="Garamond"/>
          <w:i/>
          <w:iCs/>
          <w:sz w:val="20"/>
          <w:szCs w:val="20"/>
        </w:rPr>
        <w:t>Government Information Quarterly</w:t>
      </w:r>
      <w:r w:rsidRPr="00A26336">
        <w:rPr>
          <w:rFonts w:ascii="Garamond" w:hAnsi="Garamond"/>
          <w:sz w:val="20"/>
          <w:szCs w:val="20"/>
        </w:rPr>
        <w:t xml:space="preserve">, 39(1), Article 101650. </w:t>
      </w:r>
      <w:hyperlink r:id="rId28" w:tgtFrame="_blank" w:history="1">
        <w:r w:rsidRPr="00912567">
          <w:rPr>
            <w:rStyle w:val="Hyperlink"/>
            <w:rFonts w:ascii="Garamond" w:hAnsi="Garamond"/>
            <w:color w:val="0066FF"/>
            <w:sz w:val="20"/>
            <w:szCs w:val="20"/>
          </w:rPr>
          <w:t>https://doi.org/10.1016/j.giq.2021.101650</w:t>
        </w:r>
      </w:hyperlink>
    </w:p>
    <w:p w14:paraId="2FF18A68"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Rasngat, A., &amp; Jusnaidi, M. (2015). User-centric communication design for interactive public administration platforms. </w:t>
      </w:r>
      <w:r w:rsidRPr="00A26336">
        <w:rPr>
          <w:rFonts w:ascii="Garamond" w:hAnsi="Garamond"/>
          <w:i/>
          <w:iCs/>
          <w:sz w:val="20"/>
          <w:szCs w:val="20"/>
        </w:rPr>
        <w:t>Public Performance &amp; Management Review</w:t>
      </w:r>
      <w:r w:rsidRPr="00A26336">
        <w:rPr>
          <w:rFonts w:ascii="Garamond" w:hAnsi="Garamond"/>
          <w:sz w:val="20"/>
          <w:szCs w:val="20"/>
        </w:rPr>
        <w:t xml:space="preserve">, 38(4), 610–632. </w:t>
      </w:r>
      <w:hyperlink r:id="rId29" w:tgtFrame="_blank" w:history="1">
        <w:r w:rsidRPr="00912567">
          <w:rPr>
            <w:rStyle w:val="Hyperlink"/>
            <w:rFonts w:ascii="Garamond" w:hAnsi="Garamond"/>
            <w:color w:val="0066FF"/>
            <w:sz w:val="20"/>
            <w:szCs w:val="20"/>
          </w:rPr>
          <w:t>https://doi.org/10.1080/15309576.2015.1025830</w:t>
        </w:r>
      </w:hyperlink>
    </w:p>
    <w:p w14:paraId="60577958"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Rozi, F. (2019). Digital ecosystem frameworks in public sector management. </w:t>
      </w:r>
      <w:r w:rsidRPr="00A26336">
        <w:rPr>
          <w:rFonts w:ascii="Garamond" w:hAnsi="Garamond"/>
          <w:i/>
          <w:iCs/>
          <w:sz w:val="20"/>
          <w:szCs w:val="20"/>
        </w:rPr>
        <w:t>Journal of E-Government Research</w:t>
      </w:r>
      <w:r w:rsidRPr="00A26336">
        <w:rPr>
          <w:rFonts w:ascii="Garamond" w:hAnsi="Garamond"/>
          <w:sz w:val="20"/>
          <w:szCs w:val="20"/>
        </w:rPr>
        <w:t xml:space="preserve">, 15(2), 112–128. </w:t>
      </w:r>
      <w:hyperlink r:id="rId30" w:tgtFrame="_blank" w:history="1">
        <w:r w:rsidRPr="00912567">
          <w:rPr>
            <w:rStyle w:val="Hyperlink"/>
            <w:rFonts w:ascii="Garamond" w:hAnsi="Garamond"/>
            <w:color w:val="0066FF"/>
            <w:sz w:val="20"/>
            <w:szCs w:val="20"/>
          </w:rPr>
          <w:t>https://doi.org/10.4018/JEGR.2019040106</w:t>
        </w:r>
      </w:hyperlink>
    </w:p>
    <w:p w14:paraId="16D6FC57"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Rühs, N., &amp; Jones, A. (2016). The implementation of predictive user frameworks through substantive digital governance rights. </w:t>
      </w:r>
      <w:r w:rsidRPr="00A26336">
        <w:rPr>
          <w:rFonts w:ascii="Garamond" w:hAnsi="Garamond"/>
          <w:i/>
          <w:iCs/>
          <w:sz w:val="20"/>
          <w:szCs w:val="20"/>
        </w:rPr>
        <w:t>Sustainability</w:t>
      </w:r>
      <w:r w:rsidRPr="00A26336">
        <w:rPr>
          <w:rFonts w:ascii="Garamond" w:hAnsi="Garamond"/>
          <w:sz w:val="20"/>
          <w:szCs w:val="20"/>
        </w:rPr>
        <w:t xml:space="preserve">, 8(2), Article 174. </w:t>
      </w:r>
      <w:hyperlink r:id="rId31" w:tgtFrame="_blank" w:history="1">
        <w:r w:rsidRPr="00912567">
          <w:rPr>
            <w:rStyle w:val="Hyperlink"/>
            <w:rFonts w:ascii="Garamond" w:hAnsi="Garamond"/>
            <w:color w:val="0066FF"/>
            <w:sz w:val="20"/>
            <w:szCs w:val="20"/>
          </w:rPr>
          <w:t>https://doi.org/10.3390/su8020174</w:t>
        </w:r>
      </w:hyperlink>
    </w:p>
    <w:p w14:paraId="509B4123"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Sehen Issa, J., Abbaszadeh, M. R., &amp; Salehi, M. (2022). The impact of corporate governance on automated service quality and transparency in digital platforms. </w:t>
      </w:r>
      <w:r w:rsidRPr="00A26336">
        <w:rPr>
          <w:rFonts w:ascii="Garamond" w:hAnsi="Garamond"/>
          <w:i/>
          <w:iCs/>
          <w:sz w:val="20"/>
          <w:szCs w:val="20"/>
        </w:rPr>
        <w:t>Administrative Sciences</w:t>
      </w:r>
      <w:r w:rsidRPr="00A26336">
        <w:rPr>
          <w:rFonts w:ascii="Garamond" w:hAnsi="Garamond"/>
          <w:sz w:val="20"/>
          <w:szCs w:val="20"/>
        </w:rPr>
        <w:t xml:space="preserve">, 12(4), Article 190. </w:t>
      </w:r>
      <w:hyperlink r:id="rId32" w:tgtFrame="_blank" w:history="1">
        <w:r w:rsidRPr="00912567">
          <w:rPr>
            <w:rStyle w:val="Hyperlink"/>
            <w:rFonts w:ascii="Garamond" w:hAnsi="Garamond"/>
            <w:color w:val="0066FF"/>
            <w:sz w:val="20"/>
            <w:szCs w:val="20"/>
          </w:rPr>
          <w:t>https://doi.org/10.3390/admsci12040190</w:t>
        </w:r>
      </w:hyperlink>
    </w:p>
    <w:p w14:paraId="6F1ECA02"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Sharma, M., &amp; Choubey, A. (2022a). Digital marketing initiatives: A qualitative study on data privacy and personalized outreach. </w:t>
      </w:r>
      <w:r w:rsidRPr="00A26336">
        <w:rPr>
          <w:rFonts w:ascii="Garamond" w:hAnsi="Garamond"/>
          <w:i/>
          <w:iCs/>
          <w:sz w:val="20"/>
          <w:szCs w:val="20"/>
        </w:rPr>
        <w:t>Environment, Development and Sustainability</w:t>
      </w:r>
      <w:r w:rsidRPr="00A26336">
        <w:rPr>
          <w:rFonts w:ascii="Garamond" w:hAnsi="Garamond"/>
          <w:sz w:val="20"/>
          <w:szCs w:val="20"/>
        </w:rPr>
        <w:t xml:space="preserve">, 24(1), 890–912. </w:t>
      </w:r>
      <w:hyperlink r:id="rId33" w:tgtFrame="_blank" w:history="1">
        <w:r w:rsidRPr="00912567">
          <w:rPr>
            <w:rStyle w:val="Hyperlink"/>
            <w:rFonts w:ascii="Garamond" w:hAnsi="Garamond"/>
            <w:color w:val="0066FF"/>
            <w:sz w:val="20"/>
            <w:szCs w:val="20"/>
          </w:rPr>
          <w:t>https://doi.org/10.1007/s10668-021-01426-9</w:t>
        </w:r>
      </w:hyperlink>
    </w:p>
    <w:p w14:paraId="0B3896F5"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Sharma, M., &amp; Choubey, A. (2022b). Algorithmic personalization and brand trust in digital service ecosystems. </w:t>
      </w:r>
      <w:r w:rsidRPr="00A26336">
        <w:rPr>
          <w:rFonts w:ascii="Garamond" w:hAnsi="Garamond"/>
          <w:i/>
          <w:iCs/>
          <w:sz w:val="20"/>
          <w:szCs w:val="20"/>
        </w:rPr>
        <w:t>Journal of Retailing and Consumer Services</w:t>
      </w:r>
      <w:r w:rsidRPr="00A26336">
        <w:rPr>
          <w:rFonts w:ascii="Garamond" w:hAnsi="Garamond"/>
          <w:sz w:val="20"/>
          <w:szCs w:val="20"/>
        </w:rPr>
        <w:t xml:space="preserve">, 68, Article 103021. </w:t>
      </w:r>
      <w:hyperlink r:id="rId34" w:tgtFrame="_blank" w:history="1">
        <w:r w:rsidRPr="00912567">
          <w:rPr>
            <w:rStyle w:val="Hyperlink"/>
            <w:rFonts w:ascii="Garamond" w:hAnsi="Garamond"/>
            <w:color w:val="0066FF"/>
            <w:sz w:val="20"/>
            <w:szCs w:val="20"/>
          </w:rPr>
          <w:t>https://doi.org/10.1016/j.jretconser.2022.103021</w:t>
        </w:r>
      </w:hyperlink>
    </w:p>
    <w:p w14:paraId="1503DB98"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Silva Junior, A., Santos, B., &amp; Oliveira, M. (2023). Corporate communication and institutional legitimacy in digital channels. </w:t>
      </w:r>
      <w:r w:rsidRPr="00A26336">
        <w:rPr>
          <w:rFonts w:ascii="Garamond" w:hAnsi="Garamond"/>
          <w:i/>
          <w:iCs/>
          <w:sz w:val="20"/>
          <w:szCs w:val="20"/>
        </w:rPr>
        <w:t>Corporate Communications: An International Journal</w:t>
      </w:r>
      <w:r w:rsidRPr="00A26336">
        <w:rPr>
          <w:rFonts w:ascii="Garamond" w:hAnsi="Garamond"/>
          <w:sz w:val="20"/>
          <w:szCs w:val="20"/>
        </w:rPr>
        <w:t xml:space="preserve">, 28(3), 401–418. </w:t>
      </w:r>
      <w:hyperlink r:id="rId35" w:tgtFrame="_blank" w:history="1">
        <w:r w:rsidRPr="00912567">
          <w:rPr>
            <w:rStyle w:val="Hyperlink"/>
            <w:rFonts w:ascii="Garamond" w:hAnsi="Garamond"/>
            <w:color w:val="0066FF"/>
            <w:sz w:val="20"/>
            <w:szCs w:val="20"/>
          </w:rPr>
          <w:t>https://doi.org/10.1108/CCIJ-09-2022-0105</w:t>
        </w:r>
      </w:hyperlink>
    </w:p>
    <w:p w14:paraId="500C1E99"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Sukoharsono, E. G., Triyuwono, I., &amp; Saraswati, E. (2021). Reconstructing corporate communication pyramids for algorithmic platforms. </w:t>
      </w:r>
      <w:r w:rsidRPr="00A26336">
        <w:rPr>
          <w:rFonts w:ascii="Garamond" w:hAnsi="Garamond"/>
          <w:i/>
          <w:iCs/>
          <w:sz w:val="20"/>
          <w:szCs w:val="20"/>
        </w:rPr>
        <w:t>Journal of Business Ethics</w:t>
      </w:r>
      <w:r w:rsidRPr="00A26336">
        <w:rPr>
          <w:rFonts w:ascii="Garamond" w:hAnsi="Garamond"/>
          <w:sz w:val="20"/>
          <w:szCs w:val="20"/>
        </w:rPr>
        <w:t xml:space="preserve">, 170(2), 311–326. </w:t>
      </w:r>
      <w:hyperlink r:id="rId36" w:tgtFrame="_blank" w:history="1">
        <w:r w:rsidRPr="00912567">
          <w:rPr>
            <w:rStyle w:val="Hyperlink"/>
            <w:rFonts w:ascii="Garamond" w:hAnsi="Garamond"/>
            <w:color w:val="0066FF"/>
            <w:sz w:val="20"/>
            <w:szCs w:val="20"/>
          </w:rPr>
          <w:t>https://doi.org/10.1007/s10551-020-04512-x</w:t>
        </w:r>
      </w:hyperlink>
    </w:p>
    <w:p w14:paraId="7BFEBF40"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Tusamma, &amp; Muhammad Izzuddin. (2022). Predictive communication frameworks and organizational ethics in digital platforms. </w:t>
      </w:r>
      <w:r w:rsidRPr="00A26336">
        <w:rPr>
          <w:rFonts w:ascii="Garamond" w:hAnsi="Garamond"/>
          <w:i/>
          <w:iCs/>
          <w:sz w:val="20"/>
          <w:szCs w:val="20"/>
        </w:rPr>
        <w:t>Wasathiyyah</w:t>
      </w:r>
      <w:r w:rsidRPr="00A26336">
        <w:rPr>
          <w:rFonts w:ascii="Garamond" w:hAnsi="Garamond"/>
          <w:sz w:val="20"/>
          <w:szCs w:val="20"/>
        </w:rPr>
        <w:t xml:space="preserve">, 4(2), 115–128. </w:t>
      </w:r>
      <w:hyperlink r:id="rId37" w:tgtFrame="_blank" w:history="1">
        <w:r w:rsidRPr="00912567">
          <w:rPr>
            <w:rStyle w:val="Hyperlink"/>
            <w:rFonts w:ascii="Garamond" w:hAnsi="Garamond"/>
            <w:color w:val="0066FF"/>
            <w:sz w:val="20"/>
            <w:szCs w:val="20"/>
          </w:rPr>
          <w:t>https://doi.org/10.58470/wasathiyyah.v4i2.32</w:t>
        </w:r>
      </w:hyperlink>
    </w:p>
    <w:p w14:paraId="76FBFB20"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Venkatesh, V., Morris, M. G., Davis, G. B., &amp; Davis, F. D. (2003). User acceptance of information technology: Toward a unified view. </w:t>
      </w:r>
      <w:r w:rsidRPr="00A26336">
        <w:rPr>
          <w:rFonts w:ascii="Garamond" w:hAnsi="Garamond"/>
          <w:i/>
          <w:iCs/>
          <w:sz w:val="20"/>
          <w:szCs w:val="20"/>
        </w:rPr>
        <w:t>MIS Quarterly</w:t>
      </w:r>
      <w:r w:rsidRPr="00A26336">
        <w:rPr>
          <w:rFonts w:ascii="Garamond" w:hAnsi="Garamond"/>
          <w:sz w:val="20"/>
          <w:szCs w:val="20"/>
        </w:rPr>
        <w:t xml:space="preserve">, 27(3), 425–478. </w:t>
      </w:r>
      <w:hyperlink r:id="rId38" w:tgtFrame="_blank" w:history="1">
        <w:r w:rsidRPr="00912567">
          <w:rPr>
            <w:rStyle w:val="Hyperlink"/>
            <w:rFonts w:ascii="Garamond" w:hAnsi="Garamond"/>
            <w:color w:val="0066FF"/>
            <w:sz w:val="20"/>
            <w:szCs w:val="20"/>
          </w:rPr>
          <w:t>https://doi.org/10.2307/30036540</w:t>
        </w:r>
      </w:hyperlink>
    </w:p>
    <w:p w14:paraId="3BDDE4A6" w14:textId="77777777" w:rsidR="00A26336" w:rsidRPr="00912567" w:rsidRDefault="00A26336" w:rsidP="00912567">
      <w:pPr>
        <w:pStyle w:val="NormalWeb"/>
        <w:ind w:left="426" w:hanging="426"/>
        <w:rPr>
          <w:rFonts w:ascii="Garamond" w:hAnsi="Garamond"/>
          <w:color w:val="0066FF"/>
          <w:sz w:val="20"/>
          <w:szCs w:val="20"/>
        </w:rPr>
      </w:pPr>
      <w:r w:rsidRPr="00A26336">
        <w:rPr>
          <w:rFonts w:ascii="Garamond" w:hAnsi="Garamond"/>
          <w:sz w:val="20"/>
          <w:szCs w:val="20"/>
        </w:rPr>
        <w:t xml:space="preserve">Wulandari, M. M., &amp; Jati, B. K. H. (2023). Examining the synergy between algorithmic transparency and regulatory compliance in digital public communications. </w:t>
      </w:r>
      <w:r w:rsidRPr="00A26336">
        <w:rPr>
          <w:rFonts w:ascii="Garamond" w:hAnsi="Garamond"/>
          <w:i/>
          <w:iCs/>
          <w:sz w:val="20"/>
          <w:szCs w:val="20"/>
        </w:rPr>
        <w:t>Proceedings of the International Conference on Digital Law and Governance</w:t>
      </w:r>
      <w:r w:rsidRPr="00A26336">
        <w:rPr>
          <w:rFonts w:ascii="Garamond" w:hAnsi="Garamond"/>
          <w:sz w:val="20"/>
          <w:szCs w:val="20"/>
        </w:rPr>
        <w:t xml:space="preserve">, 111–123. </w:t>
      </w:r>
      <w:hyperlink r:id="rId39" w:tgtFrame="_blank" w:history="1">
        <w:r w:rsidRPr="00912567">
          <w:rPr>
            <w:rStyle w:val="Hyperlink"/>
            <w:rFonts w:ascii="Garamond" w:hAnsi="Garamond"/>
            <w:color w:val="0066FF"/>
            <w:sz w:val="20"/>
            <w:szCs w:val="20"/>
          </w:rPr>
          <w:t>https://doi.org/10.2991/978-2-38476-164-7_111</w:t>
        </w:r>
      </w:hyperlink>
    </w:p>
    <w:sectPr w:rsidR="00A26336" w:rsidRPr="00912567" w:rsidSect="00BE3AAE">
      <w:footerReference w:type="even" r:id="rId40"/>
      <w:footerReference w:type="default" r:id="rId41"/>
      <w:headerReference w:type="first" r:id="rId42"/>
      <w:footerReference w:type="first" r:id="rId43"/>
      <w:pgSz w:w="11906" w:h="16838" w:code="9"/>
      <w:pgMar w:top="1440" w:right="1627" w:bottom="1440" w:left="1530" w:header="720" w:footer="720" w:gutter="0"/>
      <w:pgNumType w:start="118"/>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2C227" w14:textId="77777777" w:rsidR="00EB770E" w:rsidRDefault="00EB770E">
      <w:pPr>
        <w:spacing w:before="0" w:after="0" w:line="240" w:lineRule="auto"/>
      </w:pPr>
      <w:r>
        <w:separator/>
      </w:r>
    </w:p>
  </w:endnote>
  <w:endnote w:type="continuationSeparator" w:id="0">
    <w:p w14:paraId="6549E24D" w14:textId="77777777" w:rsidR="00EB770E" w:rsidRDefault="00EB77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EB010E00-6C5D-471A-B44B-6CDA77211520}"/>
    <w:embedBold r:id="rId2" w:fontKey="{06359E30-352B-458B-BFE2-D18FA955B635}"/>
    <w:embedItalic r:id="rId3" w:fontKey="{A80EDB42-FAC8-4972-A18D-B2D518DEDD25}"/>
    <w:embedBoldItalic r:id="rId4" w:fontKey="{2F354FFD-3B2E-4895-9FE0-0DF04C452531}"/>
  </w:font>
  <w:font w:name="Garamond">
    <w:panose1 w:val="02020404030301010803"/>
    <w:charset w:val="00"/>
    <w:family w:val="roman"/>
    <w:pitch w:val="variable"/>
    <w:sig w:usb0="00000287" w:usb1="00000000" w:usb2="00000000" w:usb3="00000000" w:csb0="0000009F" w:csb1="00000000"/>
    <w:embedRegular r:id="rId5" w:fontKey="{49EC4048-ACAE-4EC2-9A99-994EE3430ADD}"/>
    <w:embedBold r:id="rId6" w:fontKey="{08C8FE1D-5186-40F1-83AB-FCBA80F3A7A7}"/>
    <w:embedItalic r:id="rId7" w:fontKey="{8B2D6A55-B563-47E5-8A2B-0C3433DBB330}"/>
    <w:embedBoldItalic r:id="rId8" w:fontKey="{30F0A2FA-5A8F-4501-B891-0A69D175BAF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1AD6B5BE-2C56-4536-A085-BC649C9F482B}"/>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10" w:fontKey="{1B05BC06-73E8-4C26-9C0B-E9A24E7CF785}"/>
  </w:font>
  <w:font w:name="Times New Arabic">
    <w:panose1 w:val="02020603050405020304"/>
    <w:charset w:val="00"/>
    <w:family w:val="roman"/>
    <w:pitch w:val="variable"/>
    <w:sig w:usb0="00000003" w:usb1="00000000" w:usb2="00000000" w:usb3="00000000" w:csb0="00000001" w:csb1="00000000"/>
    <w:embedRegular r:id="rId11" w:fontKey="{61A35A42-BF0E-4286-86F0-44648C1AEBCE}"/>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default"/>
  </w:font>
  <w:font w:name="Allianz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2" w:fontKey="{54CDC6EA-5045-435E-BE08-B424978FD39E}"/>
  </w:font>
  <w:font w:name="Book Antiqua">
    <w:panose1 w:val="02040602050305030304"/>
    <w:charset w:val="00"/>
    <w:family w:val="roman"/>
    <w:pitch w:val="variable"/>
    <w:sig w:usb0="00000287" w:usb1="00000000" w:usb2="00000000" w:usb3="00000000" w:csb0="0000009F" w:csb1="00000000"/>
    <w:embedRegular r:id="rId13" w:fontKey="{9441DF56-6D48-4F64-85A4-7C4C59070D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1EF9" w14:textId="77777777" w:rsidR="005F23E1" w:rsidRDefault="00EB770E">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24CF20C0" wp14:editId="39282E82">
              <wp:simplePos x="0" y="0"/>
              <wp:positionH relativeFrom="column">
                <wp:posOffset>114300</wp:posOffset>
              </wp:positionH>
              <wp:positionV relativeFrom="paragraph">
                <wp:posOffset>8305800</wp:posOffset>
              </wp:positionV>
              <wp:extent cx="7515794" cy="443230"/>
              <wp:effectExtent l="0" t="0" r="0" b="0"/>
              <wp:wrapNone/>
              <wp:docPr id="456" name="Rectangle 456"/>
              <wp:cNvGraphicFramePr/>
              <a:graphic xmlns:a="http://schemas.openxmlformats.org/drawingml/2006/main">
                <a:graphicData uri="http://schemas.microsoft.com/office/word/2010/wordprocessingShape">
                  <wps:wsp>
                    <wps:cNvSpPr/>
                    <wps:spPr>
                      <a:xfrm>
                        <a:off x="1592866" y="3563148"/>
                        <a:ext cx="7506269" cy="433705"/>
                      </a:xfrm>
                      <a:prstGeom prst="rect">
                        <a:avLst/>
                      </a:prstGeom>
                      <a:noFill/>
                      <a:ln>
                        <a:noFill/>
                      </a:ln>
                    </wps:spPr>
                    <wps:txbx>
                      <w:txbxContent>
                        <w:p w14:paraId="5456936C" w14:textId="77777777" w:rsidR="005F23E1" w:rsidRDefault="00EB770E">
                          <w:pPr>
                            <w:spacing w:before="300" w:after="0" w:line="240" w:lineRule="auto"/>
                            <w:jc w:val="right"/>
                            <w:textDirection w:val="btLr"/>
                          </w:pPr>
                          <w:r>
                            <w:rPr>
                              <w:rFonts w:ascii="Arial" w:eastAsia="Arial" w:hAnsi="Arial" w:cs="Arial"/>
                              <w:smallCaps/>
                              <w:color w:val="845309"/>
                              <w:sz w:val="18"/>
                            </w:rPr>
                            <w:t>Muhammad Majdy Amiruddin, Issa Qaed, Saddan Husain</w:t>
                          </w:r>
                        </w:p>
                        <w:p w14:paraId="18627F5D" w14:textId="77777777" w:rsidR="005F23E1" w:rsidRDefault="00EB770E">
                          <w:pPr>
                            <w:spacing w:before="0" w:after="0" w:line="240" w:lineRule="auto"/>
                            <w:jc w:val="right"/>
                            <w:textDirection w:val="btLr"/>
                          </w:pPr>
                          <w:r>
                            <w:rPr>
                              <w:rFonts w:ascii="Garamond" w:eastAsia="Garamond" w:hAnsi="Garamond" w:cs="Garamond"/>
                              <w:color w:val="000000"/>
                              <w:sz w:val="28"/>
                            </w:rPr>
                            <w:t>Banco, Volume 6, November |  PAGE   \* MERGEFORMAT 2</w:t>
                          </w:r>
                        </w:p>
                      </w:txbxContent>
                    </wps:txbx>
                    <wps:bodyPr spcFirstLastPara="1" wrap="square" lIns="0" tIns="45700" rIns="0" bIns="45700" anchor="t" anchorCtr="0">
                      <a:noAutofit/>
                    </wps:bodyPr>
                  </wps:wsp>
                </a:graphicData>
              </a:graphic>
            </wp:anchor>
          </w:drawing>
        </mc:Choice>
        <mc:Fallback>
          <w:pict>
            <v:rect w14:anchorId="24CF20C0" id="Rectangle 456" o:spid="_x0000_s1028" style="position:absolute;margin-left:9pt;margin-top:654pt;width:591.8pt;height:34.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" filled="f" stroked="f">
              <v:textbox inset="0,1.2694mm,0,1.2694mm">
                <w:txbxContent>
                  <w:p w14:paraId="5456936C" w14:textId="77777777" w:rsidR="005F23E1" w:rsidRDefault="00EB770E">
                    <w:pPr>
                      <w:spacing w:before="300" w:after="0" w:line="240" w:lineRule="auto"/>
                      <w:jc w:val="right"/>
                      <w:textDirection w:val="btLr"/>
                    </w:pPr>
                    <w:r>
                      <w:rPr>
                        <w:rFonts w:ascii="Arial" w:eastAsia="Arial" w:hAnsi="Arial" w:cs="Arial"/>
                        <w:smallCaps/>
                        <w:color w:val="845309"/>
                        <w:sz w:val="18"/>
                      </w:rPr>
                      <w:t>Muhammad Majdy Amiruddin, Issa Qaed, Saddan Husain</w:t>
                    </w:r>
                  </w:p>
                  <w:p w14:paraId="18627F5D" w14:textId="77777777" w:rsidR="005F23E1" w:rsidRDefault="00EB770E">
                    <w:pPr>
                      <w:spacing w:before="0" w:after="0" w:line="240" w:lineRule="auto"/>
                      <w:jc w:val="right"/>
                      <w:textDirection w:val="btLr"/>
                    </w:pPr>
                    <w:r>
                      <w:rPr>
                        <w:rFonts w:ascii="Garamond" w:eastAsia="Garamond" w:hAnsi="Garamond" w:cs="Garamond"/>
                        <w:color w:val="000000"/>
                        <w:sz w:val="28"/>
                      </w:rPr>
                      <w:t>Banco, Volume 6, November |  PAGE   \* MERGEFORMAT 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3F47" w14:textId="77777777" w:rsidR="005F23E1" w:rsidRDefault="00EB770E">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558CF303" wp14:editId="1B53A65D">
              <wp:simplePos x="0" y="0"/>
              <wp:positionH relativeFrom="column">
                <wp:posOffset>114300</wp:posOffset>
              </wp:positionH>
              <wp:positionV relativeFrom="paragraph">
                <wp:posOffset>8293100</wp:posOffset>
              </wp:positionV>
              <wp:extent cx="7515794" cy="443230"/>
              <wp:effectExtent l="0" t="0" r="0" b="0"/>
              <wp:wrapNone/>
              <wp:docPr id="458" name="Rectangle 458"/>
              <wp:cNvGraphicFramePr/>
              <a:graphic xmlns:a="http://schemas.openxmlformats.org/drawingml/2006/main">
                <a:graphicData uri="http://schemas.microsoft.com/office/word/2010/wordprocessingShape">
                  <wps:wsp>
                    <wps:cNvSpPr/>
                    <wps:spPr>
                      <a:xfrm>
                        <a:off x="1592866" y="3563148"/>
                        <a:ext cx="7506269" cy="433705"/>
                      </a:xfrm>
                      <a:prstGeom prst="rect">
                        <a:avLst/>
                      </a:prstGeom>
                      <a:noFill/>
                      <a:ln>
                        <a:noFill/>
                      </a:ln>
                    </wps:spPr>
                    <wps:txbx>
                      <w:txbxContent>
                        <w:p w14:paraId="0525F47E" w14:textId="77777777" w:rsidR="005F23E1" w:rsidRDefault="00EB770E">
                          <w:pPr>
                            <w:spacing w:before="300" w:after="0" w:line="240" w:lineRule="auto"/>
                            <w:textDirection w:val="btLr"/>
                          </w:pPr>
                          <w:r>
                            <w:rPr>
                              <w:rFonts w:ascii="Garamond" w:eastAsia="Garamond" w:hAnsi="Garamond" w:cs="Garamond"/>
                              <w:smallCaps/>
                              <w:color w:val="845309"/>
                              <w:sz w:val="18"/>
                            </w:rPr>
                            <w:t>Fiqh Ecology Based Green Banking Framewrok</w:t>
                          </w:r>
                        </w:p>
                        <w:p w14:paraId="1C212D57" w14:textId="77777777" w:rsidR="005F23E1" w:rsidRDefault="00EB770E">
                          <w:pPr>
                            <w:spacing w:before="0" w:after="0" w:line="240" w:lineRule="auto"/>
                            <w:textDirection w:val="btLr"/>
                          </w:pPr>
                          <w:r>
                            <w:rPr>
                              <w:rFonts w:ascii="Garamond" w:eastAsia="Garamond" w:hAnsi="Garamond" w:cs="Garamond"/>
                              <w:color w:val="000000"/>
                              <w:sz w:val="28"/>
                            </w:rPr>
                            <w:t>Banco, Volume 6, November |  PAGE   \* MERGEFORMAT 2</w:t>
                          </w:r>
                        </w:p>
                      </w:txbxContent>
                    </wps:txbx>
                    <wps:bodyPr spcFirstLastPara="1" wrap="square" lIns="0" tIns="45700" rIns="0" bIns="45700" anchor="t" anchorCtr="0">
                      <a:noAutofit/>
                    </wps:bodyPr>
                  </wps:wsp>
                </a:graphicData>
              </a:graphic>
            </wp:anchor>
          </w:drawing>
        </mc:Choice>
        <mc:Fallback>
          <w:pict>
            <v:rect w14:anchorId="558CF303" id="Rectangle 458" o:spid="_x0000_s1029" style="position:absolute;margin-left:9pt;margin-top:653pt;width:591.8pt;height:3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" filled="f" stroked="f">
              <v:textbox inset="0,1.2694mm,0,1.2694mm">
                <w:txbxContent>
                  <w:p w14:paraId="0525F47E" w14:textId="77777777" w:rsidR="005F23E1" w:rsidRDefault="00EB770E">
                    <w:pPr>
                      <w:spacing w:before="300" w:after="0" w:line="240" w:lineRule="auto"/>
                      <w:textDirection w:val="btLr"/>
                    </w:pPr>
                    <w:r>
                      <w:rPr>
                        <w:rFonts w:ascii="Garamond" w:eastAsia="Garamond" w:hAnsi="Garamond" w:cs="Garamond"/>
                        <w:smallCaps/>
                        <w:color w:val="845309"/>
                        <w:sz w:val="18"/>
                      </w:rPr>
                      <w:t>Fiqh Ecology Based Green Banking Framewrok</w:t>
                    </w:r>
                  </w:p>
                  <w:p w14:paraId="1C212D57" w14:textId="77777777" w:rsidR="005F23E1" w:rsidRDefault="00EB770E">
                    <w:pPr>
                      <w:spacing w:before="0" w:after="0" w:line="240" w:lineRule="auto"/>
                      <w:textDirection w:val="btLr"/>
                    </w:pPr>
                    <w:r>
                      <w:rPr>
                        <w:rFonts w:ascii="Garamond" w:eastAsia="Garamond" w:hAnsi="Garamond" w:cs="Garamond"/>
                        <w:color w:val="000000"/>
                        <w:sz w:val="28"/>
                      </w:rPr>
                      <w:t>Banco, Volume 6, November |  PAGE   \* MERGEFORMAT 2</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532C" w14:textId="77777777" w:rsidR="005F23E1" w:rsidRDefault="005F23E1">
    <w:pPr>
      <w:pBdr>
        <w:top w:val="nil"/>
        <w:left w:val="nil"/>
        <w:bottom w:val="nil"/>
        <w:right w:val="nil"/>
        <w:between w:val="nil"/>
      </w:pBdr>
      <w:spacing w:before="0" w:after="0" w:line="240" w:lineRule="auto"/>
      <w:ind w:left="1350"/>
      <w:rPr>
        <w:rFonts w:ascii="Book Antiqua" w:eastAsia="Book Antiqua" w:hAnsi="Book Antiqua" w:cs="Book Antiqua"/>
        <w:color w:val="000000"/>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BE5DF" w14:textId="77777777" w:rsidR="00EB770E" w:rsidRDefault="00EB770E">
      <w:pPr>
        <w:spacing w:before="0" w:after="0" w:line="240" w:lineRule="auto"/>
      </w:pPr>
      <w:r>
        <w:separator/>
      </w:r>
    </w:p>
  </w:footnote>
  <w:footnote w:type="continuationSeparator" w:id="0">
    <w:p w14:paraId="441A0C5A" w14:textId="77777777" w:rsidR="00EB770E" w:rsidRDefault="00EB77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F454" w14:textId="37743BC9" w:rsidR="005F23E1" w:rsidRDefault="00A26336">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i/>
        <w:color w:val="000000"/>
      </w:rPr>
    </w:pPr>
    <w:r>
      <w:rPr>
        <w:rFonts w:ascii="Garamond" w:eastAsia="Garamond" w:hAnsi="Garamond" w:cs="Garamond"/>
        <w:i/>
        <w:color w:val="000000"/>
      </w:rPr>
      <w:t xml:space="preserve">Volume </w:t>
    </w:r>
    <w:r w:rsidR="00E03F88">
      <w:rPr>
        <w:rFonts w:ascii="Garamond" w:eastAsia="Garamond" w:hAnsi="Garamond" w:cs="Garamond"/>
        <w:i/>
        <w:color w:val="000000"/>
      </w:rPr>
      <w:t>1</w:t>
    </w:r>
    <w:r>
      <w:rPr>
        <w:rFonts w:ascii="Garamond" w:eastAsia="Garamond" w:hAnsi="Garamond" w:cs="Garamond"/>
        <w:i/>
        <w:color w:val="000000"/>
      </w:rPr>
      <w:t>,</w:t>
    </w:r>
    <w:r w:rsidR="00E03F88">
      <w:rPr>
        <w:rFonts w:ascii="Garamond" w:eastAsia="Garamond" w:hAnsi="Garamond" w:cs="Garamond"/>
        <w:i/>
        <w:color w:val="000000"/>
      </w:rPr>
      <w:t xml:space="preserve"> Number 1, </w:t>
    </w:r>
    <w:r>
      <w:rPr>
        <w:rFonts w:ascii="Garamond" w:eastAsia="Garamond" w:hAnsi="Garamond" w:cs="Garamond"/>
        <w:i/>
        <w:color w:val="000000"/>
      </w:rPr>
      <w:t xml:space="preserve"> November 202</w:t>
    </w:r>
    <w:r w:rsidR="00456139">
      <w:rPr>
        <w:rFonts w:ascii="Garamond" w:eastAsia="Garamond" w:hAnsi="Garamond" w:cs="Garamond"/>
        <w:i/>
        <w:color w:val="000000"/>
      </w:rPr>
      <w:t>6</w:t>
    </w:r>
  </w:p>
  <w:p w14:paraId="683F82D9" w14:textId="01266D42" w:rsidR="00BE3AAE" w:rsidRDefault="00BE3AAE">
    <w:pPr>
      <w:pBdr>
        <w:top w:val="nil"/>
        <w:left w:val="nil"/>
        <w:bottom w:val="nil"/>
        <w:right w:val="nil"/>
        <w:between w:val="nil"/>
      </w:pBdr>
      <w:tabs>
        <w:tab w:val="center" w:pos="4680"/>
        <w:tab w:val="right" w:pos="9360"/>
      </w:tabs>
      <w:spacing w:after="0" w:line="240" w:lineRule="auto"/>
      <w:jc w:val="right"/>
      <w:rPr>
        <w:i/>
        <w:color w:val="000000"/>
      </w:rPr>
    </w:pPr>
    <w:r>
      <w:rPr>
        <w:noProof/>
      </w:rPr>
      <w:drawing>
        <wp:anchor distT="0" distB="0" distL="114300" distR="114300" simplePos="0" relativeHeight="251661312" behindDoc="0" locked="0" layoutInCell="1" allowOverlap="1" wp14:anchorId="045CC0F4" wp14:editId="1CCFA467">
          <wp:simplePos x="0" y="0"/>
          <wp:positionH relativeFrom="column">
            <wp:posOffset>11430</wp:posOffset>
          </wp:positionH>
          <wp:positionV relativeFrom="paragraph">
            <wp:posOffset>167005</wp:posOffset>
          </wp:positionV>
          <wp:extent cx="5741670" cy="10439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27903" r="14512" b="29735"/>
                  <a:stretch/>
                </pic:blipFill>
                <pic:spPr bwMode="auto">
                  <a:xfrm>
                    <a:off x="0" y="0"/>
                    <a:ext cx="5755921" cy="10465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0942"/>
    <w:multiLevelType w:val="multilevel"/>
    <w:tmpl w:val="9C5C054A"/>
    <w:lvl w:ilvl="0">
      <w:start w:val="1"/>
      <w:numFmt w:val="decimal"/>
      <w:pStyle w:val="Heading2"/>
      <w:lvlText w:val="%1."/>
      <w:lvlJc w:val="left"/>
      <w:pPr>
        <w:tabs>
          <w:tab w:val="num" w:pos="2771"/>
        </w:tabs>
        <w:ind w:left="2771" w:hanging="720"/>
      </w:pPr>
    </w:lvl>
    <w:lvl w:ilvl="1">
      <w:start w:val="1"/>
      <w:numFmt w:val="decimal"/>
      <w:lvlText w:val="%2."/>
      <w:lvlJc w:val="left"/>
      <w:pPr>
        <w:tabs>
          <w:tab w:val="num" w:pos="3491"/>
        </w:tabs>
        <w:ind w:left="3491" w:hanging="720"/>
      </w:pPr>
    </w:lvl>
    <w:lvl w:ilvl="2">
      <w:start w:val="1"/>
      <w:numFmt w:val="decimal"/>
      <w:lvlText w:val="%3."/>
      <w:lvlJc w:val="left"/>
      <w:pPr>
        <w:tabs>
          <w:tab w:val="num" w:pos="4211"/>
        </w:tabs>
        <w:ind w:left="4211" w:hanging="720"/>
      </w:pPr>
    </w:lvl>
    <w:lvl w:ilvl="3">
      <w:start w:val="1"/>
      <w:numFmt w:val="decimal"/>
      <w:lvlText w:val="%4."/>
      <w:lvlJc w:val="left"/>
      <w:pPr>
        <w:tabs>
          <w:tab w:val="num" w:pos="4931"/>
        </w:tabs>
        <w:ind w:left="4931" w:hanging="720"/>
      </w:pPr>
    </w:lvl>
    <w:lvl w:ilvl="4">
      <w:start w:val="1"/>
      <w:numFmt w:val="decimal"/>
      <w:lvlText w:val="%5."/>
      <w:lvlJc w:val="left"/>
      <w:pPr>
        <w:tabs>
          <w:tab w:val="num" w:pos="5651"/>
        </w:tabs>
        <w:ind w:left="5651" w:hanging="720"/>
      </w:pPr>
    </w:lvl>
    <w:lvl w:ilvl="5">
      <w:start w:val="1"/>
      <w:numFmt w:val="decimal"/>
      <w:lvlText w:val="%6."/>
      <w:lvlJc w:val="left"/>
      <w:pPr>
        <w:tabs>
          <w:tab w:val="num" w:pos="6371"/>
        </w:tabs>
        <w:ind w:left="6371" w:hanging="720"/>
      </w:pPr>
    </w:lvl>
    <w:lvl w:ilvl="6">
      <w:start w:val="1"/>
      <w:numFmt w:val="decimal"/>
      <w:lvlText w:val="%7."/>
      <w:lvlJc w:val="left"/>
      <w:pPr>
        <w:tabs>
          <w:tab w:val="num" w:pos="7091"/>
        </w:tabs>
        <w:ind w:left="7091" w:hanging="720"/>
      </w:pPr>
    </w:lvl>
    <w:lvl w:ilvl="7">
      <w:start w:val="1"/>
      <w:numFmt w:val="decimal"/>
      <w:lvlText w:val="%8."/>
      <w:lvlJc w:val="left"/>
      <w:pPr>
        <w:tabs>
          <w:tab w:val="num" w:pos="7811"/>
        </w:tabs>
        <w:ind w:left="7811" w:hanging="720"/>
      </w:pPr>
    </w:lvl>
    <w:lvl w:ilvl="8">
      <w:start w:val="1"/>
      <w:numFmt w:val="decimal"/>
      <w:lvlText w:val="%9."/>
      <w:lvlJc w:val="left"/>
      <w:pPr>
        <w:tabs>
          <w:tab w:val="num" w:pos="8531"/>
        </w:tabs>
        <w:ind w:left="8531" w:hanging="720"/>
      </w:pPr>
    </w:lvl>
  </w:abstractNum>
  <w:abstractNum w:abstractNumId="1" w15:restartNumberingAfterBreak="0">
    <w:nsid w:val="05A94E69"/>
    <w:multiLevelType w:val="multilevel"/>
    <w:tmpl w:val="B7305814"/>
    <w:lvl w:ilvl="0">
      <w:start w:val="1"/>
      <w:numFmt w:val="decimal"/>
      <w:pStyle w:val="Sub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365F67"/>
    <w:multiLevelType w:val="multilevel"/>
    <w:tmpl w:val="70141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sub3"/>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C11C18"/>
    <w:multiLevelType w:val="multilevel"/>
    <w:tmpl w:val="E61EA614"/>
    <w:lvl w:ilvl="0">
      <w:start w:val="1"/>
      <w:numFmt w:val="upperLetter"/>
      <w:pStyle w:val="Terj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AE"/>
    <w:rsid w:val="00267F3D"/>
    <w:rsid w:val="00456139"/>
    <w:rsid w:val="00525449"/>
    <w:rsid w:val="005F23E1"/>
    <w:rsid w:val="007608D4"/>
    <w:rsid w:val="00814BBC"/>
    <w:rsid w:val="00877532"/>
    <w:rsid w:val="00912567"/>
    <w:rsid w:val="00915E23"/>
    <w:rsid w:val="00961266"/>
    <w:rsid w:val="009F355F"/>
    <w:rsid w:val="00A13CD6"/>
    <w:rsid w:val="00A26336"/>
    <w:rsid w:val="00BE3AAE"/>
    <w:rsid w:val="00BE4B64"/>
    <w:rsid w:val="00CD5C71"/>
    <w:rsid w:val="00CF57CC"/>
    <w:rsid w:val="00E03F88"/>
    <w:rsid w:val="00EB770E"/>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7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zh-CN"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5FD"/>
  </w:style>
  <w:style w:type="paragraph" w:styleId="Heading1">
    <w:name w:val="heading 1"/>
    <w:basedOn w:val="Normal"/>
    <w:next w:val="Normal"/>
    <w:link w:val="Heading1Char"/>
    <w:uiPriority w:val="9"/>
    <w:qFormat/>
    <w:rsid w:val="000435FD"/>
    <w:pPr>
      <w:pBdr>
        <w:top w:val="single" w:sz="24" w:space="0" w:color="F0A22E" w:themeColor="accent1"/>
        <w:left w:val="single" w:sz="24" w:space="0" w:color="F0A22E" w:themeColor="accent1"/>
        <w:bottom w:val="single" w:sz="24" w:space="0" w:color="F0A22E" w:themeColor="accent1"/>
        <w:right w:val="single" w:sz="24" w:space="0" w:color="F0A22E" w:themeColor="accent1"/>
      </w:pBdr>
      <w:shd w:val="clear" w:color="auto" w:fill="F0A22E" w:themeFill="accent1"/>
      <w:spacing w:after="0"/>
      <w:outlineLvl w:val="0"/>
    </w:pPr>
    <w:rPr>
      <w:caps/>
      <w:color w:val="FFFFFF" w:themeColor="background1"/>
      <w:spacing w:val="15"/>
      <w:sz w:val="22"/>
      <w:szCs w:val="22"/>
    </w:rPr>
  </w:style>
  <w:style w:type="paragraph" w:styleId="Heading2">
    <w:name w:val="heading 2"/>
    <w:aliases w:val="Sub 2"/>
    <w:basedOn w:val="Normal"/>
    <w:next w:val="Normal"/>
    <w:link w:val="Heading2Char"/>
    <w:uiPriority w:val="9"/>
    <w:unhideWhenUsed/>
    <w:qFormat/>
    <w:rsid w:val="005A5ECB"/>
    <w:pPr>
      <w:numPr>
        <w:numId w:val="4"/>
      </w:num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0"/>
      <w:outlineLvl w:val="1"/>
    </w:pPr>
    <w:rPr>
      <w:rFonts w:ascii="Garamond" w:hAnsi="Garamond"/>
      <w:b/>
      <w:bCs/>
      <w:spacing w:val="15"/>
      <w:sz w:val="28"/>
      <w:szCs w:val="28"/>
    </w:rPr>
  </w:style>
  <w:style w:type="paragraph" w:styleId="Heading3">
    <w:name w:val="heading 3"/>
    <w:basedOn w:val="Normal"/>
    <w:next w:val="Normal"/>
    <w:link w:val="Heading3Char"/>
    <w:uiPriority w:val="9"/>
    <w:semiHidden/>
    <w:unhideWhenUsed/>
    <w:qFormat/>
    <w:rsid w:val="000435FD"/>
    <w:pPr>
      <w:pBdr>
        <w:top w:val="single" w:sz="6" w:space="2" w:color="F0A22E" w:themeColor="accent1"/>
      </w:pBdr>
      <w:spacing w:before="300" w:after="0"/>
      <w:outlineLvl w:val="2"/>
    </w:pPr>
    <w:rPr>
      <w:caps/>
      <w:color w:val="845209" w:themeColor="accent1" w:themeShade="7F"/>
      <w:spacing w:val="15"/>
    </w:rPr>
  </w:style>
  <w:style w:type="paragraph" w:styleId="Heading4">
    <w:name w:val="heading 4"/>
    <w:basedOn w:val="Normal"/>
    <w:next w:val="Normal"/>
    <w:link w:val="Heading4Char"/>
    <w:uiPriority w:val="9"/>
    <w:semiHidden/>
    <w:unhideWhenUsed/>
    <w:qFormat/>
    <w:rsid w:val="000435FD"/>
    <w:pPr>
      <w:pBdr>
        <w:top w:val="dotted" w:sz="6" w:space="2" w:color="F0A22E" w:themeColor="accent1"/>
      </w:pBdr>
      <w:spacing w:before="200" w:after="0"/>
      <w:outlineLvl w:val="3"/>
    </w:pPr>
    <w:rPr>
      <w:caps/>
      <w:color w:val="C77C0E" w:themeColor="accent1" w:themeShade="BF"/>
      <w:spacing w:val="10"/>
    </w:rPr>
  </w:style>
  <w:style w:type="paragraph" w:styleId="Heading5">
    <w:name w:val="heading 5"/>
    <w:basedOn w:val="Normal"/>
    <w:next w:val="Normal"/>
    <w:link w:val="Heading5Char"/>
    <w:uiPriority w:val="9"/>
    <w:semiHidden/>
    <w:unhideWhenUsed/>
    <w:qFormat/>
    <w:rsid w:val="000435FD"/>
    <w:pPr>
      <w:pBdr>
        <w:bottom w:val="single" w:sz="6" w:space="1" w:color="F0A22E" w:themeColor="accent1"/>
      </w:pBdr>
      <w:spacing w:before="200" w:after="0"/>
      <w:outlineLvl w:val="4"/>
    </w:pPr>
    <w:rPr>
      <w:caps/>
      <w:color w:val="C77C0E" w:themeColor="accent1" w:themeShade="BF"/>
      <w:spacing w:val="10"/>
    </w:rPr>
  </w:style>
  <w:style w:type="paragraph" w:styleId="Heading6">
    <w:name w:val="heading 6"/>
    <w:basedOn w:val="Normal"/>
    <w:next w:val="Normal"/>
    <w:link w:val="Heading6Char"/>
    <w:uiPriority w:val="9"/>
    <w:semiHidden/>
    <w:unhideWhenUsed/>
    <w:qFormat/>
    <w:rsid w:val="000435FD"/>
    <w:pPr>
      <w:pBdr>
        <w:bottom w:val="dotted" w:sz="6" w:space="1" w:color="F0A22E" w:themeColor="accent1"/>
      </w:pBdr>
      <w:spacing w:before="200" w:after="0"/>
      <w:outlineLvl w:val="5"/>
    </w:pPr>
    <w:rPr>
      <w:caps/>
      <w:color w:val="C77C0E" w:themeColor="accent1" w:themeShade="BF"/>
      <w:spacing w:val="10"/>
    </w:rPr>
  </w:style>
  <w:style w:type="paragraph" w:styleId="Heading7">
    <w:name w:val="heading 7"/>
    <w:basedOn w:val="Normal"/>
    <w:next w:val="Normal"/>
    <w:link w:val="Heading7Char"/>
    <w:uiPriority w:val="9"/>
    <w:semiHidden/>
    <w:unhideWhenUsed/>
    <w:qFormat/>
    <w:rsid w:val="000435FD"/>
    <w:pPr>
      <w:spacing w:before="200" w:after="0"/>
      <w:outlineLvl w:val="6"/>
    </w:pPr>
    <w:rPr>
      <w:caps/>
      <w:color w:val="C77C0E" w:themeColor="accent1" w:themeShade="BF"/>
      <w:spacing w:val="10"/>
    </w:rPr>
  </w:style>
  <w:style w:type="paragraph" w:styleId="Heading8">
    <w:name w:val="heading 8"/>
    <w:basedOn w:val="Normal"/>
    <w:next w:val="Normal"/>
    <w:link w:val="Heading8Char"/>
    <w:uiPriority w:val="9"/>
    <w:semiHidden/>
    <w:unhideWhenUsed/>
    <w:qFormat/>
    <w:rsid w:val="000435F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435F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35FD"/>
    <w:pPr>
      <w:spacing w:before="0" w:after="0"/>
    </w:pPr>
    <w:rPr>
      <w:rFonts w:asciiTheme="majorHAnsi" w:eastAsiaTheme="majorEastAsia" w:hAnsiTheme="majorHAnsi" w:cstheme="majorBidi"/>
      <w:caps/>
      <w:color w:val="F0A22E" w:themeColor="accent1"/>
      <w:spacing w:val="10"/>
      <w:sz w:val="52"/>
      <w:szCs w:val="52"/>
    </w:rPr>
  </w:style>
  <w:style w:type="character" w:customStyle="1" w:styleId="Heading1Char">
    <w:name w:val="Heading 1 Char"/>
    <w:basedOn w:val="DefaultParagraphFont"/>
    <w:link w:val="Heading1"/>
    <w:uiPriority w:val="9"/>
    <w:rsid w:val="000435FD"/>
    <w:rPr>
      <w:caps/>
      <w:color w:val="FFFFFF" w:themeColor="background1"/>
      <w:spacing w:val="15"/>
      <w:sz w:val="22"/>
      <w:szCs w:val="22"/>
      <w:shd w:val="clear" w:color="auto" w:fill="F0A22E" w:themeFill="accent1"/>
    </w:rPr>
  </w:style>
  <w:style w:type="character" w:customStyle="1" w:styleId="Heading2Char">
    <w:name w:val="Heading 2 Char"/>
    <w:aliases w:val="Sub 2 Char"/>
    <w:basedOn w:val="DefaultParagraphFont"/>
    <w:link w:val="Heading2"/>
    <w:uiPriority w:val="9"/>
    <w:rsid w:val="005A5ECB"/>
    <w:rPr>
      <w:rFonts w:ascii="Garamond" w:hAnsi="Garamond"/>
      <w:b/>
      <w:bCs/>
      <w:spacing w:val="15"/>
      <w:sz w:val="28"/>
      <w:szCs w:val="28"/>
      <w:shd w:val="clear" w:color="auto" w:fill="FCECD5" w:themeFill="accent1" w:themeFillTint="33"/>
    </w:rPr>
  </w:style>
  <w:style w:type="character" w:customStyle="1" w:styleId="Heading3Char">
    <w:name w:val="Heading 3 Char"/>
    <w:basedOn w:val="DefaultParagraphFont"/>
    <w:link w:val="Heading3"/>
    <w:uiPriority w:val="9"/>
    <w:rsid w:val="000435FD"/>
    <w:rPr>
      <w:caps/>
      <w:color w:val="845209" w:themeColor="accent1" w:themeShade="7F"/>
      <w:spacing w:val="15"/>
    </w:rPr>
  </w:style>
  <w:style w:type="character" w:customStyle="1" w:styleId="Heading4Char">
    <w:name w:val="Heading 4 Char"/>
    <w:basedOn w:val="DefaultParagraphFont"/>
    <w:link w:val="Heading4"/>
    <w:uiPriority w:val="9"/>
    <w:rsid w:val="000435FD"/>
    <w:rPr>
      <w:caps/>
      <w:color w:val="C77C0E" w:themeColor="accent1" w:themeShade="BF"/>
      <w:spacing w:val="10"/>
    </w:rPr>
  </w:style>
  <w:style w:type="character" w:customStyle="1" w:styleId="Heading5Char">
    <w:name w:val="Heading 5 Char"/>
    <w:basedOn w:val="DefaultParagraphFont"/>
    <w:link w:val="Heading5"/>
    <w:uiPriority w:val="9"/>
    <w:rsid w:val="000435FD"/>
    <w:rPr>
      <w:caps/>
      <w:color w:val="C77C0E" w:themeColor="accent1" w:themeShade="BF"/>
      <w:spacing w:val="10"/>
    </w:rPr>
  </w:style>
  <w:style w:type="character" w:customStyle="1" w:styleId="Heading6Char">
    <w:name w:val="Heading 6 Char"/>
    <w:basedOn w:val="DefaultParagraphFont"/>
    <w:link w:val="Heading6"/>
    <w:uiPriority w:val="9"/>
    <w:semiHidden/>
    <w:rsid w:val="000435FD"/>
    <w:rPr>
      <w:caps/>
      <w:color w:val="C77C0E" w:themeColor="accent1" w:themeShade="BF"/>
      <w:spacing w:val="10"/>
    </w:rPr>
  </w:style>
  <w:style w:type="character" w:customStyle="1" w:styleId="Heading7Char">
    <w:name w:val="Heading 7 Char"/>
    <w:basedOn w:val="DefaultParagraphFont"/>
    <w:link w:val="Heading7"/>
    <w:uiPriority w:val="9"/>
    <w:semiHidden/>
    <w:rsid w:val="000435FD"/>
    <w:rPr>
      <w:caps/>
      <w:color w:val="C77C0E" w:themeColor="accent1" w:themeShade="BF"/>
      <w:spacing w:val="10"/>
    </w:rPr>
  </w:style>
  <w:style w:type="character" w:customStyle="1" w:styleId="Heading8Char">
    <w:name w:val="Heading 8 Char"/>
    <w:basedOn w:val="DefaultParagraphFont"/>
    <w:link w:val="Heading8"/>
    <w:uiPriority w:val="9"/>
    <w:semiHidden/>
    <w:rsid w:val="000435FD"/>
    <w:rPr>
      <w:caps/>
      <w:spacing w:val="10"/>
      <w:sz w:val="18"/>
      <w:szCs w:val="18"/>
    </w:rPr>
  </w:style>
  <w:style w:type="character" w:customStyle="1" w:styleId="Heading9Char">
    <w:name w:val="Heading 9 Char"/>
    <w:basedOn w:val="DefaultParagraphFont"/>
    <w:link w:val="Heading9"/>
    <w:uiPriority w:val="9"/>
    <w:semiHidden/>
    <w:rsid w:val="000435FD"/>
    <w:rPr>
      <w:i/>
      <w:iCs/>
      <w:caps/>
      <w:spacing w:val="10"/>
      <w:sz w:val="18"/>
      <w:szCs w:val="18"/>
    </w:rPr>
  </w:style>
  <w:style w:type="paragraph" w:styleId="Footer">
    <w:name w:val="footer"/>
    <w:basedOn w:val="Normal"/>
    <w:link w:val="FooterChar"/>
    <w:uiPriority w:val="99"/>
    <w:unhideWhenUsed/>
    <w:rsid w:val="00680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5AC"/>
  </w:style>
  <w:style w:type="table" w:styleId="TableGrid">
    <w:name w:val="Table Grid"/>
    <w:basedOn w:val="TableNormal"/>
    <w:uiPriority w:val="39"/>
    <w:rsid w:val="0068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6805AC"/>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locked/>
    <w:rsid w:val="004639D5"/>
  </w:style>
  <w:style w:type="paragraph" w:styleId="FootnoteText">
    <w:name w:val="footnote text"/>
    <w:aliases w:val="f_Footnote, Char Char Char, Char Char,Char Char Char,Char Char,list 2"/>
    <w:basedOn w:val="Normal"/>
    <w:link w:val="FootnoteTextChar"/>
    <w:uiPriority w:val="99"/>
    <w:unhideWhenUsed/>
    <w:rsid w:val="00393E41"/>
    <w:pPr>
      <w:spacing w:after="240"/>
      <w:ind w:left="720" w:hanging="720"/>
    </w:pPr>
    <w:rPr>
      <w:rFonts w:ascii="Garamond" w:hAnsi="Garamond" w:cs="Times New Roman"/>
    </w:rPr>
  </w:style>
  <w:style w:type="character" w:customStyle="1" w:styleId="FootnoteTextChar">
    <w:name w:val="Footnote Text Char"/>
    <w:aliases w:val="f_Footnote Char, Char Char Char Char, Char Char Char1,Char Char Char Char,Char Char Char1,list 2 Char"/>
    <w:basedOn w:val="DefaultParagraphFont"/>
    <w:link w:val="FootnoteText"/>
    <w:uiPriority w:val="99"/>
    <w:rsid w:val="00393E41"/>
    <w:rPr>
      <w:rFonts w:ascii="Garamond" w:eastAsiaTheme="minorEastAsia" w:hAnsi="Garamond" w:cs="Times New Roman"/>
      <w:sz w:val="20"/>
      <w:szCs w:val="20"/>
    </w:rPr>
  </w:style>
  <w:style w:type="character" w:styleId="FootnoteReference">
    <w:name w:val="footnote reference"/>
    <w:basedOn w:val="DefaultParagraphFont"/>
    <w:uiPriority w:val="99"/>
    <w:unhideWhenUsed/>
    <w:rsid w:val="006805AC"/>
    <w:rPr>
      <w:vertAlign w:val="superscript"/>
    </w:rPr>
  </w:style>
  <w:style w:type="character" w:styleId="Hyperlink">
    <w:name w:val="Hyperlink"/>
    <w:basedOn w:val="DefaultParagraphFont"/>
    <w:uiPriority w:val="99"/>
    <w:unhideWhenUsed/>
    <w:rsid w:val="006805AC"/>
    <w:rPr>
      <w:color w:val="AD1F1F" w:themeColor="hyperlink"/>
      <w:u w:val="single"/>
    </w:rPr>
  </w:style>
  <w:style w:type="paragraph" w:styleId="Header">
    <w:name w:val="header"/>
    <w:basedOn w:val="Normal"/>
    <w:link w:val="HeaderChar"/>
    <w:uiPriority w:val="99"/>
    <w:unhideWhenUsed/>
    <w:rsid w:val="00680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5AC"/>
    <w:rPr>
      <w:rFonts w:eastAsiaTheme="minorEastAsia"/>
    </w:rPr>
  </w:style>
  <w:style w:type="paragraph" w:styleId="BalloonText">
    <w:name w:val="Balloon Text"/>
    <w:basedOn w:val="Normal"/>
    <w:link w:val="BalloonTextChar"/>
    <w:uiPriority w:val="99"/>
    <w:semiHidden/>
    <w:unhideWhenUsed/>
    <w:rsid w:val="00680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5AC"/>
    <w:rPr>
      <w:rFonts w:ascii="Segoe UI" w:eastAsiaTheme="minorEastAsia" w:hAnsi="Segoe UI" w:cs="Segoe UI"/>
      <w:sz w:val="18"/>
      <w:szCs w:val="18"/>
    </w:rPr>
  </w:style>
  <w:style w:type="character" w:styleId="Emphasis">
    <w:name w:val="Emphasis"/>
    <w:uiPriority w:val="20"/>
    <w:qFormat/>
    <w:rsid w:val="000435FD"/>
    <w:rPr>
      <w:caps/>
      <w:color w:val="845209" w:themeColor="accent1" w:themeShade="7F"/>
      <w:spacing w:val="5"/>
    </w:rPr>
  </w:style>
  <w:style w:type="paragraph" w:styleId="NormalWeb">
    <w:name w:val="Normal (Web)"/>
    <w:basedOn w:val="Normal"/>
    <w:link w:val="NormalWebChar"/>
    <w:uiPriority w:val="99"/>
    <w:unhideWhenUsed/>
    <w:rsid w:val="006805AC"/>
    <w:pPr>
      <w:spacing w:beforeAutospacing="1" w:after="100" w:afterAutospacing="1" w:line="240" w:lineRule="auto"/>
    </w:pPr>
    <w:rPr>
      <w:rFonts w:ascii="Times New Roman" w:eastAsia="Times New Roman" w:hAnsi="Times New Roman" w:cs="Times New Roman"/>
      <w:sz w:val="24"/>
      <w:szCs w:val="24"/>
    </w:rPr>
  </w:style>
  <w:style w:type="paragraph" w:customStyle="1" w:styleId="teks">
    <w:name w:val="teks"/>
    <w:basedOn w:val="Normal"/>
    <w:rsid w:val="006805AC"/>
    <w:pPr>
      <w:spacing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435FD"/>
    <w:rPr>
      <w:b/>
      <w:bCs/>
    </w:rPr>
  </w:style>
  <w:style w:type="paragraph" w:styleId="NoSpacing">
    <w:name w:val="No Spacing"/>
    <w:link w:val="NoSpacingChar"/>
    <w:uiPriority w:val="1"/>
    <w:qFormat/>
    <w:rsid w:val="000435FD"/>
    <w:pPr>
      <w:spacing w:after="0" w:line="240" w:lineRule="auto"/>
    </w:pPr>
  </w:style>
  <w:style w:type="character" w:customStyle="1" w:styleId="NoSpacingChar">
    <w:name w:val="No Spacing Char"/>
    <w:basedOn w:val="DefaultParagraphFont"/>
    <w:link w:val="NoSpacing"/>
    <w:uiPriority w:val="1"/>
    <w:rsid w:val="00BF06E8"/>
  </w:style>
  <w:style w:type="paragraph" w:customStyle="1" w:styleId="Default">
    <w:name w:val="Default"/>
    <w:rsid w:val="006805AC"/>
    <w:pPr>
      <w:autoSpaceDE w:val="0"/>
      <w:autoSpaceDN w:val="0"/>
      <w:adjustRightInd w:val="0"/>
      <w:spacing w:after="0" w:line="240" w:lineRule="auto"/>
    </w:pPr>
    <w:rPr>
      <w:rFonts w:ascii="Times New Arabic" w:hAnsi="Times New Arabic" w:cs="Times New Arabic"/>
      <w:color w:val="000000"/>
      <w:sz w:val="24"/>
      <w:szCs w:val="24"/>
    </w:rPr>
  </w:style>
  <w:style w:type="paragraph" w:styleId="Caption">
    <w:name w:val="caption"/>
    <w:basedOn w:val="Normal"/>
    <w:next w:val="Normal"/>
    <w:uiPriority w:val="35"/>
    <w:unhideWhenUsed/>
    <w:qFormat/>
    <w:rsid w:val="000435FD"/>
    <w:rPr>
      <w:b/>
      <w:bCs/>
      <w:color w:val="C77C0E" w:themeColor="accent1" w:themeShade="BF"/>
      <w:sz w:val="16"/>
      <w:szCs w:val="16"/>
    </w:rPr>
  </w:style>
  <w:style w:type="character" w:customStyle="1" w:styleId="TitleChar">
    <w:name w:val="Title Char"/>
    <w:basedOn w:val="DefaultParagraphFont"/>
    <w:link w:val="Title"/>
    <w:uiPriority w:val="10"/>
    <w:rsid w:val="000435FD"/>
    <w:rPr>
      <w:rFonts w:asciiTheme="majorHAnsi" w:eastAsiaTheme="majorEastAsia" w:hAnsiTheme="majorHAnsi" w:cstheme="majorBidi"/>
      <w:caps/>
      <w:color w:val="F0A22E" w:themeColor="accent1"/>
      <w:spacing w:val="10"/>
      <w:sz w:val="52"/>
      <w:szCs w:val="52"/>
    </w:r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character" w:customStyle="1" w:styleId="SubtitleChar">
    <w:name w:val="Subtitle Char"/>
    <w:basedOn w:val="DefaultParagraphFont"/>
    <w:link w:val="Subtitle"/>
    <w:uiPriority w:val="11"/>
    <w:rsid w:val="000435FD"/>
    <w:rPr>
      <w:caps/>
      <w:color w:val="595959" w:themeColor="text1" w:themeTint="A6"/>
      <w:spacing w:val="10"/>
      <w:sz w:val="21"/>
      <w:szCs w:val="21"/>
    </w:rPr>
  </w:style>
  <w:style w:type="paragraph" w:styleId="Quote">
    <w:name w:val="Quote"/>
    <w:basedOn w:val="Normal"/>
    <w:next w:val="Normal"/>
    <w:link w:val="QuoteChar"/>
    <w:uiPriority w:val="29"/>
    <w:qFormat/>
    <w:rsid w:val="000435FD"/>
    <w:rPr>
      <w:i/>
      <w:iCs/>
      <w:sz w:val="24"/>
      <w:szCs w:val="24"/>
    </w:rPr>
  </w:style>
  <w:style w:type="character" w:customStyle="1" w:styleId="QuoteChar">
    <w:name w:val="Quote Char"/>
    <w:basedOn w:val="DefaultParagraphFont"/>
    <w:link w:val="Quote"/>
    <w:uiPriority w:val="29"/>
    <w:rsid w:val="000435FD"/>
    <w:rPr>
      <w:i/>
      <w:iCs/>
      <w:sz w:val="24"/>
      <w:szCs w:val="24"/>
    </w:rPr>
  </w:style>
  <w:style w:type="paragraph" w:styleId="IntenseQuote">
    <w:name w:val="Intense Quote"/>
    <w:basedOn w:val="Normal"/>
    <w:next w:val="Normal"/>
    <w:link w:val="IntenseQuoteChar"/>
    <w:uiPriority w:val="30"/>
    <w:qFormat/>
    <w:rsid w:val="000435FD"/>
    <w:pPr>
      <w:spacing w:before="240" w:after="240" w:line="240" w:lineRule="auto"/>
      <w:ind w:left="1080" w:right="1080"/>
      <w:jc w:val="center"/>
    </w:pPr>
    <w:rPr>
      <w:color w:val="F0A22E" w:themeColor="accent1"/>
      <w:sz w:val="24"/>
      <w:szCs w:val="24"/>
    </w:rPr>
  </w:style>
  <w:style w:type="character" w:customStyle="1" w:styleId="IntenseQuoteChar">
    <w:name w:val="Intense Quote Char"/>
    <w:basedOn w:val="DefaultParagraphFont"/>
    <w:link w:val="IntenseQuote"/>
    <w:uiPriority w:val="30"/>
    <w:rsid w:val="000435FD"/>
    <w:rPr>
      <w:color w:val="F0A22E" w:themeColor="accent1"/>
      <w:sz w:val="24"/>
      <w:szCs w:val="24"/>
    </w:rPr>
  </w:style>
  <w:style w:type="character" w:styleId="SubtleEmphasis">
    <w:name w:val="Subtle Emphasis"/>
    <w:uiPriority w:val="19"/>
    <w:qFormat/>
    <w:rsid w:val="000435FD"/>
    <w:rPr>
      <w:i/>
      <w:iCs/>
      <w:color w:val="845209" w:themeColor="accent1" w:themeShade="7F"/>
    </w:rPr>
  </w:style>
  <w:style w:type="character" w:styleId="IntenseEmphasis">
    <w:name w:val="Intense Emphasis"/>
    <w:uiPriority w:val="21"/>
    <w:qFormat/>
    <w:rsid w:val="000435FD"/>
    <w:rPr>
      <w:b/>
      <w:bCs/>
      <w:caps/>
      <w:color w:val="845209" w:themeColor="accent1" w:themeShade="7F"/>
      <w:spacing w:val="10"/>
    </w:rPr>
  </w:style>
  <w:style w:type="character" w:styleId="SubtleReference">
    <w:name w:val="Subtle Reference"/>
    <w:uiPriority w:val="31"/>
    <w:qFormat/>
    <w:rsid w:val="000435FD"/>
    <w:rPr>
      <w:b/>
      <w:bCs/>
      <w:color w:val="F0A22E" w:themeColor="accent1"/>
    </w:rPr>
  </w:style>
  <w:style w:type="character" w:styleId="IntenseReference">
    <w:name w:val="Intense Reference"/>
    <w:uiPriority w:val="32"/>
    <w:qFormat/>
    <w:rsid w:val="000435FD"/>
    <w:rPr>
      <w:b/>
      <w:bCs/>
      <w:i/>
      <w:iCs/>
      <w:caps/>
      <w:color w:val="F0A22E" w:themeColor="accent1"/>
    </w:rPr>
  </w:style>
  <w:style w:type="character" w:styleId="BookTitle">
    <w:name w:val="Book Title"/>
    <w:uiPriority w:val="33"/>
    <w:qFormat/>
    <w:rsid w:val="000435FD"/>
    <w:rPr>
      <w:b/>
      <w:bCs/>
      <w:i/>
      <w:iCs/>
      <w:spacing w:val="0"/>
    </w:rPr>
  </w:style>
  <w:style w:type="paragraph" w:styleId="TOCHeading">
    <w:name w:val="TOC Heading"/>
    <w:basedOn w:val="Heading1"/>
    <w:next w:val="Normal"/>
    <w:uiPriority w:val="39"/>
    <w:semiHidden/>
    <w:unhideWhenUsed/>
    <w:qFormat/>
    <w:rsid w:val="000435FD"/>
    <w:pPr>
      <w:outlineLvl w:val="9"/>
    </w:pPr>
  </w:style>
  <w:style w:type="paragraph" w:customStyle="1" w:styleId="Pa1">
    <w:name w:val="Pa1"/>
    <w:basedOn w:val="Default"/>
    <w:next w:val="Default"/>
    <w:uiPriority w:val="99"/>
    <w:rsid w:val="00225587"/>
    <w:pPr>
      <w:spacing w:line="241" w:lineRule="atLeast"/>
    </w:pPr>
    <w:rPr>
      <w:rFonts w:ascii="Garamond" w:eastAsiaTheme="minorHAnsi" w:hAnsi="Garamond" w:cstheme="minorBidi"/>
      <w:color w:val="auto"/>
    </w:rPr>
  </w:style>
  <w:style w:type="paragraph" w:customStyle="1" w:styleId="Pa13">
    <w:name w:val="Pa13"/>
    <w:basedOn w:val="Default"/>
    <w:next w:val="Default"/>
    <w:uiPriority w:val="99"/>
    <w:rsid w:val="004639D5"/>
    <w:pPr>
      <w:spacing w:line="221" w:lineRule="atLeast"/>
    </w:pPr>
    <w:rPr>
      <w:rFonts w:ascii="Adobe Garamond Pro" w:eastAsiaTheme="minorHAnsi" w:hAnsi="Adobe Garamond Pro" w:cstheme="minorBidi"/>
      <w:color w:val="auto"/>
    </w:rPr>
  </w:style>
  <w:style w:type="character" w:customStyle="1" w:styleId="A6">
    <w:name w:val="A6"/>
    <w:uiPriority w:val="99"/>
    <w:rsid w:val="004639D5"/>
    <w:rPr>
      <w:rFonts w:cs="Adobe Garamond Pro"/>
      <w:color w:val="000000"/>
      <w:sz w:val="12"/>
      <w:szCs w:val="12"/>
    </w:rPr>
  </w:style>
  <w:style w:type="character" w:customStyle="1" w:styleId="A3">
    <w:name w:val="A3"/>
    <w:uiPriority w:val="99"/>
    <w:rsid w:val="004639D5"/>
    <w:rPr>
      <w:rFonts w:cs="Allianz Sans"/>
      <w:b/>
      <w:bCs/>
      <w:color w:val="000000"/>
      <w:sz w:val="22"/>
      <w:szCs w:val="22"/>
    </w:rPr>
  </w:style>
  <w:style w:type="character" w:customStyle="1" w:styleId="apple-converted-space">
    <w:name w:val="apple-converted-space"/>
    <w:basedOn w:val="DefaultParagraphFont"/>
    <w:rsid w:val="004639D5"/>
  </w:style>
  <w:style w:type="character" w:styleId="UnresolvedMention">
    <w:name w:val="Unresolved Mention"/>
    <w:basedOn w:val="DefaultParagraphFont"/>
    <w:uiPriority w:val="99"/>
    <w:semiHidden/>
    <w:unhideWhenUsed/>
    <w:rsid w:val="00BC6CF2"/>
    <w:rPr>
      <w:color w:val="808080"/>
      <w:shd w:val="clear" w:color="auto" w:fill="E6E6E6"/>
    </w:rPr>
  </w:style>
  <w:style w:type="character" w:styleId="FollowedHyperlink">
    <w:name w:val="FollowedHyperlink"/>
    <w:basedOn w:val="DefaultParagraphFont"/>
    <w:uiPriority w:val="99"/>
    <w:semiHidden/>
    <w:unhideWhenUsed/>
    <w:rsid w:val="00C461F1"/>
    <w:rPr>
      <w:color w:val="FFC42F" w:themeColor="followedHyperlink"/>
      <w:u w:val="single"/>
    </w:rPr>
  </w:style>
  <w:style w:type="paragraph" w:customStyle="1" w:styleId="Abstrak">
    <w:name w:val="Abstrak"/>
    <w:basedOn w:val="Normal"/>
    <w:link w:val="AbstrakKAR"/>
    <w:rsid w:val="0099226E"/>
    <w:pPr>
      <w:spacing w:after="0" w:line="240" w:lineRule="auto"/>
      <w:ind w:firstLine="360"/>
      <w:jc w:val="both"/>
    </w:pPr>
    <w:rPr>
      <w:rFonts w:ascii="Garamond" w:hAnsi="Garamond"/>
      <w:i/>
      <w:iCs/>
    </w:rPr>
  </w:style>
  <w:style w:type="character" w:customStyle="1" w:styleId="AbstrakKAR">
    <w:name w:val="Abstrak KAR"/>
    <w:basedOn w:val="DefaultParagraphFont"/>
    <w:link w:val="Abstrak"/>
    <w:rsid w:val="0099226E"/>
    <w:rPr>
      <w:rFonts w:ascii="Garamond" w:hAnsi="Garamond"/>
      <w:i/>
      <w:iCs/>
    </w:rPr>
  </w:style>
  <w:style w:type="paragraph" w:customStyle="1" w:styleId="Sub1">
    <w:name w:val="Sub1"/>
    <w:basedOn w:val="ListParagraph"/>
    <w:link w:val="Sub1KAR"/>
    <w:rsid w:val="00562BF1"/>
    <w:pPr>
      <w:numPr>
        <w:numId w:val="1"/>
      </w:numPr>
      <w:spacing w:after="0"/>
      <w:jc w:val="both"/>
    </w:pPr>
    <w:rPr>
      <w:rFonts w:ascii="Garamond" w:hAnsi="Garamond" w:cs="Times New Roman"/>
      <w:b/>
    </w:rPr>
  </w:style>
  <w:style w:type="character" w:customStyle="1" w:styleId="Sub1KAR">
    <w:name w:val="Sub1 KAR"/>
    <w:basedOn w:val="ListParagraphChar"/>
    <w:link w:val="Sub1"/>
    <w:rsid w:val="00562BF1"/>
    <w:rPr>
      <w:rFonts w:ascii="Garamond" w:hAnsi="Garamond" w:cs="Times New Roman"/>
      <w:b/>
      <w:lang w:val="en-GB"/>
    </w:rPr>
  </w:style>
  <w:style w:type="paragraph" w:customStyle="1" w:styleId="Isi1">
    <w:name w:val="Isi1"/>
    <w:basedOn w:val="Normal"/>
    <w:link w:val="Isi1KAR"/>
    <w:rsid w:val="00234AE9"/>
    <w:pPr>
      <w:spacing w:after="240"/>
      <w:ind w:firstLine="360"/>
      <w:jc w:val="both"/>
    </w:pPr>
    <w:rPr>
      <w:rFonts w:ascii="Garamond" w:hAnsi="Garamond" w:cs="Times New Roman"/>
      <w:sz w:val="24"/>
    </w:rPr>
  </w:style>
  <w:style w:type="character" w:customStyle="1" w:styleId="Isi1KAR">
    <w:name w:val="Isi1 KAR"/>
    <w:basedOn w:val="DefaultParagraphFont"/>
    <w:link w:val="Isi1"/>
    <w:rsid w:val="00234AE9"/>
    <w:rPr>
      <w:rFonts w:ascii="Garamond" w:hAnsi="Garamond" w:cs="Times New Roman"/>
      <w:sz w:val="24"/>
    </w:rPr>
  </w:style>
  <w:style w:type="paragraph" w:customStyle="1" w:styleId="Terj1">
    <w:name w:val="Terj1"/>
    <w:basedOn w:val="Normal"/>
    <w:link w:val="Terj1KAR"/>
    <w:rsid w:val="00562BF1"/>
    <w:pPr>
      <w:numPr>
        <w:numId w:val="2"/>
      </w:numPr>
      <w:spacing w:after="0" w:line="240" w:lineRule="auto"/>
      <w:jc w:val="both"/>
    </w:pPr>
    <w:rPr>
      <w:rFonts w:ascii="Garamond" w:hAnsi="Garamond" w:cs="Times New Roman"/>
      <w:i/>
      <w:iCs/>
    </w:rPr>
  </w:style>
  <w:style w:type="character" w:customStyle="1" w:styleId="Terj1KAR">
    <w:name w:val="Terj1 KAR"/>
    <w:basedOn w:val="DefaultParagraphFont"/>
    <w:link w:val="Terj1"/>
    <w:rsid w:val="00562BF1"/>
    <w:rPr>
      <w:rFonts w:ascii="Garamond" w:hAnsi="Garamond" w:cs="Times New Roman"/>
      <w:i/>
      <w:iCs/>
    </w:rPr>
  </w:style>
  <w:style w:type="paragraph" w:customStyle="1" w:styleId="Sub2">
    <w:name w:val="Sub2"/>
    <w:basedOn w:val="ListParagraph"/>
    <w:link w:val="Sub2KAR"/>
    <w:rsid w:val="009D643B"/>
    <w:pPr>
      <w:tabs>
        <w:tab w:val="num" w:pos="720"/>
      </w:tabs>
      <w:spacing w:after="0"/>
      <w:ind w:left="240" w:hanging="720"/>
      <w:jc w:val="both"/>
    </w:pPr>
    <w:rPr>
      <w:rFonts w:ascii="Garamond" w:hAnsi="Garamond" w:cs="Times New Roman"/>
      <w:b/>
      <w:i/>
      <w:color w:val="000000" w:themeColor="text1"/>
    </w:rPr>
  </w:style>
  <w:style w:type="character" w:customStyle="1" w:styleId="Sub2KAR">
    <w:name w:val="Sub2 KAR"/>
    <w:basedOn w:val="ListParagraphChar"/>
    <w:link w:val="Sub2"/>
    <w:rsid w:val="009D643B"/>
    <w:rPr>
      <w:rFonts w:ascii="Garamond" w:hAnsi="Garamond" w:cs="Times New Roman"/>
      <w:b/>
      <w:i/>
      <w:color w:val="000000" w:themeColor="text1"/>
    </w:rPr>
  </w:style>
  <w:style w:type="paragraph" w:customStyle="1" w:styleId="Isi2">
    <w:name w:val="Isi2"/>
    <w:basedOn w:val="NoSpacing"/>
    <w:link w:val="Isi2KAR"/>
    <w:rsid w:val="00234AE9"/>
    <w:pPr>
      <w:spacing w:line="276" w:lineRule="auto"/>
      <w:ind w:left="270" w:firstLine="360"/>
      <w:jc w:val="both"/>
    </w:pPr>
    <w:rPr>
      <w:rFonts w:ascii="Garamond" w:eastAsiaTheme="minorHAnsi" w:hAnsi="Garamond" w:cs="Times New Roman"/>
      <w:color w:val="000000" w:themeColor="text1"/>
      <w:sz w:val="24"/>
    </w:rPr>
  </w:style>
  <w:style w:type="character" w:customStyle="1" w:styleId="Isi2KAR">
    <w:name w:val="Isi2 KAR"/>
    <w:basedOn w:val="NoSpacingChar"/>
    <w:link w:val="Isi2"/>
    <w:rsid w:val="00234AE9"/>
    <w:rPr>
      <w:rFonts w:ascii="Garamond" w:hAnsi="Garamond" w:cs="Times New Roman"/>
      <w:color w:val="000000" w:themeColor="text1"/>
      <w:sz w:val="24"/>
    </w:rPr>
  </w:style>
  <w:style w:type="paragraph" w:customStyle="1" w:styleId="terj2">
    <w:name w:val="terj2"/>
    <w:basedOn w:val="NoSpacing"/>
    <w:link w:val="terj2KAR"/>
    <w:rsid w:val="00BF06E8"/>
    <w:pPr>
      <w:spacing w:after="240"/>
      <w:ind w:left="1080" w:firstLine="360"/>
      <w:jc w:val="both"/>
    </w:pPr>
    <w:rPr>
      <w:rFonts w:ascii="Garamond" w:eastAsia="Times New Roman" w:hAnsi="Garamond" w:cs="Times New Roman"/>
      <w:i/>
      <w:iCs/>
      <w:color w:val="000000" w:themeColor="text1"/>
    </w:rPr>
  </w:style>
  <w:style w:type="character" w:customStyle="1" w:styleId="terj2KAR">
    <w:name w:val="terj2 KAR"/>
    <w:basedOn w:val="NoSpacingChar"/>
    <w:link w:val="terj2"/>
    <w:rsid w:val="00BF06E8"/>
    <w:rPr>
      <w:rFonts w:ascii="Garamond" w:eastAsia="Times New Roman" w:hAnsi="Garamond" w:cs="Times New Roman"/>
      <w:i/>
      <w:iCs/>
      <w:color w:val="000000" w:themeColor="text1"/>
      <w:lang w:val="id-ID"/>
    </w:rPr>
  </w:style>
  <w:style w:type="paragraph" w:customStyle="1" w:styleId="wawancara2">
    <w:name w:val="wawancara2"/>
    <w:basedOn w:val="Normal"/>
    <w:link w:val="wawancara2KAR"/>
    <w:rsid w:val="0099226E"/>
    <w:pPr>
      <w:ind w:left="705" w:hanging="14"/>
    </w:pPr>
    <w:rPr>
      <w:rFonts w:ascii="Garamond" w:hAnsi="Garamond"/>
      <w:i/>
      <w:iCs/>
    </w:rPr>
  </w:style>
  <w:style w:type="character" w:customStyle="1" w:styleId="wawancara2KAR">
    <w:name w:val="wawancara2 KAR"/>
    <w:basedOn w:val="NoSpacingChar"/>
    <w:link w:val="wawancara2"/>
    <w:rsid w:val="0099226E"/>
    <w:rPr>
      <w:rFonts w:ascii="Garamond" w:eastAsiaTheme="minorEastAsia" w:hAnsi="Garamond"/>
      <w:i/>
      <w:iCs/>
    </w:rPr>
  </w:style>
  <w:style w:type="paragraph" w:customStyle="1" w:styleId="sub3">
    <w:name w:val="sub3"/>
    <w:basedOn w:val="NoSpacing"/>
    <w:link w:val="sub3KAR"/>
    <w:rsid w:val="009D643B"/>
    <w:pPr>
      <w:numPr>
        <w:ilvl w:val="3"/>
        <w:numId w:val="3"/>
      </w:numPr>
      <w:spacing w:line="276" w:lineRule="auto"/>
      <w:ind w:left="270"/>
      <w:jc w:val="both"/>
    </w:pPr>
    <w:rPr>
      <w:rFonts w:ascii="Garamond" w:eastAsia="Times New Roman" w:hAnsi="Garamond" w:cs="Times New Roman"/>
      <w:b/>
      <w:bCs/>
      <w:color w:val="000000" w:themeColor="text1"/>
    </w:rPr>
  </w:style>
  <w:style w:type="character" w:customStyle="1" w:styleId="sub3KAR">
    <w:name w:val="sub3 KAR"/>
    <w:basedOn w:val="NoSpacingChar"/>
    <w:link w:val="sub3"/>
    <w:rsid w:val="009D643B"/>
    <w:rPr>
      <w:rFonts w:ascii="Garamond" w:eastAsia="Times New Roman" w:hAnsi="Garamond" w:cs="Times New Roman"/>
      <w:b/>
      <w:bCs/>
      <w:color w:val="000000" w:themeColor="text1"/>
      <w:lang w:val="id-ID"/>
    </w:rPr>
  </w:style>
  <w:style w:type="paragraph" w:customStyle="1" w:styleId="Arab">
    <w:name w:val="Arab"/>
    <w:basedOn w:val="NoSpacing"/>
    <w:link w:val="ArabKAR"/>
    <w:rsid w:val="00DF6DC7"/>
    <w:pPr>
      <w:bidi/>
      <w:spacing w:before="120" w:line="276" w:lineRule="auto"/>
    </w:pPr>
    <w:rPr>
      <w:rFonts w:ascii="Garamond" w:eastAsia="Times New Roman" w:hAnsi="Garamond" w:cs="Times New Roman"/>
      <w:color w:val="000000" w:themeColor="text1"/>
    </w:rPr>
  </w:style>
  <w:style w:type="character" w:customStyle="1" w:styleId="ArabKAR">
    <w:name w:val="Arab KAR"/>
    <w:basedOn w:val="NoSpacingChar"/>
    <w:link w:val="Arab"/>
    <w:rsid w:val="00DF6DC7"/>
    <w:rPr>
      <w:rFonts w:ascii="Garamond" w:eastAsia="Times New Roman" w:hAnsi="Garamond" w:cs="Times New Roman"/>
      <w:color w:val="000000" w:themeColor="text1"/>
      <w:lang w:val="id-ID"/>
    </w:rPr>
  </w:style>
  <w:style w:type="character" w:styleId="LineNumber">
    <w:name w:val="line number"/>
    <w:basedOn w:val="DefaultParagraphFont"/>
    <w:uiPriority w:val="99"/>
    <w:semiHidden/>
    <w:unhideWhenUsed/>
    <w:rsid w:val="009B062E"/>
  </w:style>
  <w:style w:type="character" w:styleId="PlaceholderText">
    <w:name w:val="Placeholder Text"/>
    <w:basedOn w:val="DefaultParagraphFont"/>
    <w:uiPriority w:val="99"/>
    <w:semiHidden/>
    <w:rsid w:val="009B062E"/>
    <w:rPr>
      <w:color w:val="808080"/>
    </w:rPr>
  </w:style>
  <w:style w:type="paragraph" w:styleId="BodyText">
    <w:name w:val="Body Text"/>
    <w:basedOn w:val="Normal"/>
    <w:link w:val="BodyTextChar"/>
    <w:uiPriority w:val="1"/>
    <w:rsid w:val="009B062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B062E"/>
    <w:rPr>
      <w:rFonts w:ascii="Times New Roman" w:eastAsia="Times New Roman" w:hAnsi="Times New Roman" w:cs="Times New Roman"/>
      <w:sz w:val="24"/>
      <w:szCs w:val="24"/>
    </w:rPr>
  </w:style>
  <w:style w:type="paragraph" w:customStyle="1" w:styleId="Sub4">
    <w:name w:val="Sub4"/>
    <w:basedOn w:val="ListParagraph"/>
    <w:link w:val="Sub4KAR"/>
    <w:rsid w:val="008867D9"/>
    <w:pPr>
      <w:tabs>
        <w:tab w:val="num" w:pos="720"/>
      </w:tabs>
      <w:autoSpaceDE w:val="0"/>
      <w:autoSpaceDN w:val="0"/>
      <w:adjustRightInd w:val="0"/>
      <w:spacing w:after="0"/>
      <w:ind w:hanging="360"/>
      <w:jc w:val="both"/>
    </w:pPr>
    <w:rPr>
      <w:rFonts w:ascii="Garamond" w:hAnsi="Garamond" w:cs="Times New Roman"/>
      <w:b/>
    </w:rPr>
  </w:style>
  <w:style w:type="character" w:customStyle="1" w:styleId="Sub4KAR">
    <w:name w:val="Sub4 KAR"/>
    <w:basedOn w:val="ListParagraphChar"/>
    <w:link w:val="Sub4"/>
    <w:rsid w:val="008867D9"/>
    <w:rPr>
      <w:rFonts w:ascii="Garamond" w:hAnsi="Garamond" w:cs="Times New Roman"/>
      <w:b/>
    </w:rPr>
  </w:style>
  <w:style w:type="character" w:customStyle="1" w:styleId="EndnoteTextChar">
    <w:name w:val="Endnote Text Char"/>
    <w:basedOn w:val="DefaultParagraphFont"/>
    <w:link w:val="EndnoteText"/>
    <w:uiPriority w:val="99"/>
    <w:semiHidden/>
    <w:rsid w:val="00E9334B"/>
    <w:rPr>
      <w:rFonts w:eastAsiaTheme="minorEastAsia"/>
      <w:sz w:val="20"/>
      <w:szCs w:val="20"/>
    </w:rPr>
  </w:style>
  <w:style w:type="paragraph" w:styleId="EndnoteText">
    <w:name w:val="endnote text"/>
    <w:basedOn w:val="Normal"/>
    <w:link w:val="EndnoteTextChar"/>
    <w:uiPriority w:val="99"/>
    <w:semiHidden/>
    <w:unhideWhenUsed/>
    <w:rsid w:val="00E9334B"/>
    <w:pPr>
      <w:spacing w:after="0" w:line="240" w:lineRule="auto"/>
    </w:pPr>
  </w:style>
  <w:style w:type="paragraph" w:customStyle="1" w:styleId="xl65">
    <w:name w:val="xl65"/>
    <w:basedOn w:val="Normal"/>
    <w:rsid w:val="00E9334B"/>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E9334B"/>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E9334B"/>
    <w:pPr>
      <w:pBdr>
        <w:top w:val="single" w:sz="4" w:space="0" w:color="auto"/>
        <w:left w:val="single" w:sz="4" w:space="0" w:color="auto"/>
        <w:bottom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E9334B"/>
    <w:pPr>
      <w:pBdr>
        <w:top w:val="single" w:sz="4" w:space="0" w:color="auto"/>
        <w:left w:val="single" w:sz="4" w:space="0" w:color="auto"/>
        <w:bottom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E9334B"/>
    <w:pPr>
      <w:pBdr>
        <w:top w:val="single" w:sz="4" w:space="0" w:color="auto"/>
        <w:bottom w:val="single" w:sz="4" w:space="0" w:color="auto"/>
      </w:pBdr>
      <w:spacing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E9334B"/>
    <w:pPr>
      <w:pBdr>
        <w:top w:val="single" w:sz="4" w:space="0" w:color="auto"/>
        <w:bottom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E9334B"/>
    <w:pPr>
      <w:pBdr>
        <w:top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arabic">
    <w:name w:val="arabic"/>
    <w:basedOn w:val="Normal"/>
    <w:rsid w:val="00352136"/>
    <w:pPr>
      <w:spacing w:beforeAutospacing="1" w:after="100" w:afterAutospacing="1" w:line="240" w:lineRule="auto"/>
    </w:pPr>
    <w:rPr>
      <w:rFonts w:ascii="Times New Roman" w:eastAsia="Times New Roman" w:hAnsi="Times New Roman" w:cs="Times New Roman"/>
      <w:sz w:val="24"/>
      <w:szCs w:val="24"/>
      <w:lang w:eastAsia="id-ID"/>
    </w:rPr>
  </w:style>
  <w:style w:type="paragraph" w:customStyle="1" w:styleId="msonormal0">
    <w:name w:val="msonormal"/>
    <w:basedOn w:val="Normal"/>
    <w:rsid w:val="00D3204E"/>
    <w:pPr>
      <w:spacing w:beforeAutospacing="1" w:after="100" w:afterAutospacing="1" w:line="240" w:lineRule="auto"/>
    </w:pPr>
    <w:rPr>
      <w:rFonts w:ascii="Times New Roman" w:eastAsia="Times New Roman" w:hAnsi="Times New Roman" w:cs="Times New Roman"/>
      <w:sz w:val="24"/>
      <w:szCs w:val="24"/>
    </w:rPr>
  </w:style>
  <w:style w:type="character" w:customStyle="1" w:styleId="JudulKAR1">
    <w:name w:val="Judul KAR1"/>
    <w:basedOn w:val="DefaultParagraphFont"/>
    <w:uiPriority w:val="10"/>
    <w:rsid w:val="00D3204E"/>
    <w:rPr>
      <w:rFonts w:asciiTheme="majorHAnsi" w:eastAsiaTheme="majorEastAsia" w:hAnsiTheme="majorHAnsi" w:cstheme="majorBidi" w:hint="default"/>
      <w:spacing w:val="-10"/>
      <w:kern w:val="28"/>
      <w:sz w:val="56"/>
      <w:szCs w:val="56"/>
    </w:rPr>
  </w:style>
  <w:style w:type="paragraph" w:customStyle="1" w:styleId="NoList1">
    <w:name w:val="No List1"/>
    <w:semiHidden/>
    <w:rsid w:val="00221DD4"/>
  </w:style>
  <w:style w:type="paragraph" w:customStyle="1" w:styleId="Tabel1">
    <w:name w:val="Tabel1"/>
    <w:basedOn w:val="Isi1"/>
    <w:link w:val="Tabel1Char"/>
    <w:rsid w:val="00C23406"/>
    <w:pPr>
      <w:ind w:firstLine="0"/>
      <w:jc w:val="center"/>
    </w:pPr>
    <w:rPr>
      <w:b/>
      <w:bCs/>
    </w:rPr>
  </w:style>
  <w:style w:type="character" w:customStyle="1" w:styleId="Tabel1Char">
    <w:name w:val="Tabel1 Char"/>
    <w:basedOn w:val="Isi1KAR"/>
    <w:link w:val="Tabel1"/>
    <w:rsid w:val="00C23406"/>
    <w:rPr>
      <w:rFonts w:ascii="Garamond" w:hAnsi="Garamond" w:cs="Times New Roman"/>
      <w:b/>
      <w:bCs/>
      <w:sz w:val="24"/>
    </w:rPr>
  </w:style>
  <w:style w:type="paragraph" w:customStyle="1" w:styleId="Judulartikel">
    <w:name w:val="Judul artikel"/>
    <w:basedOn w:val="Normal"/>
    <w:link w:val="JudulartikelChar"/>
    <w:rsid w:val="0099226E"/>
    <w:pPr>
      <w:spacing w:after="0"/>
    </w:pPr>
    <w:rPr>
      <w:rFonts w:ascii="Garamond" w:hAnsi="Garamond" w:cs="Times New Roman"/>
      <w:b/>
      <w:bCs/>
      <w:sz w:val="32"/>
      <w:szCs w:val="32"/>
    </w:rPr>
  </w:style>
  <w:style w:type="paragraph" w:customStyle="1" w:styleId="footnotedescription">
    <w:name w:val="footnote description"/>
    <w:next w:val="Normal"/>
    <w:link w:val="footnotedescriptionChar"/>
    <w:hidden/>
    <w:rsid w:val="0099226E"/>
    <w:pPr>
      <w:spacing w:after="0"/>
    </w:pPr>
    <w:rPr>
      <w:rFonts w:ascii="Times New Roman" w:eastAsia="Times New Roman" w:hAnsi="Times New Roman" w:cs="Times New Roman"/>
      <w:color w:val="000000"/>
      <w:szCs w:val="24"/>
      <w:lang w:eastAsia="id-ID"/>
    </w:rPr>
  </w:style>
  <w:style w:type="character" w:customStyle="1" w:styleId="JudulartikelChar">
    <w:name w:val="Judul artikel Char"/>
    <w:basedOn w:val="DefaultParagraphFont"/>
    <w:link w:val="Judulartikel"/>
    <w:rsid w:val="0099226E"/>
    <w:rPr>
      <w:rFonts w:ascii="Garamond" w:hAnsi="Garamond" w:cs="Times New Roman"/>
      <w:b/>
      <w:bCs/>
      <w:sz w:val="32"/>
      <w:szCs w:val="32"/>
      <w:lang w:val="id-ID"/>
    </w:rPr>
  </w:style>
  <w:style w:type="character" w:customStyle="1" w:styleId="footnotedescriptionChar">
    <w:name w:val="footnote description Char"/>
    <w:link w:val="footnotedescription"/>
    <w:rsid w:val="0099226E"/>
    <w:rPr>
      <w:rFonts w:ascii="Times New Roman" w:eastAsia="Times New Roman" w:hAnsi="Times New Roman" w:cs="Times New Roman"/>
      <w:color w:val="000000"/>
      <w:sz w:val="20"/>
      <w:szCs w:val="24"/>
      <w:lang w:val="id-ID" w:eastAsia="id-ID"/>
    </w:rPr>
  </w:style>
  <w:style w:type="character" w:customStyle="1" w:styleId="footnotemark">
    <w:name w:val="footnote mark"/>
    <w:hidden/>
    <w:rsid w:val="0099226E"/>
    <w:rPr>
      <w:rFonts w:ascii="Times New Roman" w:eastAsia="Times New Roman" w:hAnsi="Times New Roman" w:cs="Times New Roman"/>
      <w:color w:val="000000"/>
      <w:sz w:val="20"/>
      <w:vertAlign w:val="superscript"/>
    </w:rPr>
  </w:style>
  <w:style w:type="table" w:customStyle="1" w:styleId="TableGrid0">
    <w:name w:val="TableGrid"/>
    <w:rsid w:val="0099226E"/>
    <w:pPr>
      <w:spacing w:after="0" w:line="240" w:lineRule="auto"/>
    </w:pPr>
    <w:rPr>
      <w:sz w:val="24"/>
      <w:szCs w:val="24"/>
      <w:lang w:eastAsia="id-ID"/>
    </w:rPr>
    <w:tblPr>
      <w:tblCellMar>
        <w:top w:w="0" w:type="dxa"/>
        <w:left w:w="0" w:type="dxa"/>
        <w:bottom w:w="0" w:type="dxa"/>
        <w:right w:w="0" w:type="dxa"/>
      </w:tblCellMar>
    </w:tblPr>
  </w:style>
  <w:style w:type="character" w:customStyle="1" w:styleId="jlqj4b">
    <w:name w:val="jlqj4b"/>
    <w:basedOn w:val="DefaultParagraphFont"/>
    <w:rsid w:val="00BC0FAD"/>
  </w:style>
  <w:style w:type="paragraph" w:customStyle="1" w:styleId="IsiTabel">
    <w:name w:val="Isi Tabel"/>
    <w:basedOn w:val="FootnoteText"/>
    <w:link w:val="IsiTabelChar"/>
    <w:rsid w:val="009D643B"/>
    <w:pPr>
      <w:spacing w:after="0" w:line="240" w:lineRule="auto"/>
      <w:ind w:firstLine="0"/>
      <w:jc w:val="center"/>
      <w:outlineLvl w:val="0"/>
    </w:pPr>
    <w:rPr>
      <w:color w:val="000000" w:themeColor="text1"/>
      <w:sz w:val="22"/>
      <w:szCs w:val="22"/>
    </w:rPr>
  </w:style>
  <w:style w:type="character" w:customStyle="1" w:styleId="IsiTabelChar">
    <w:name w:val="Isi Tabel Char"/>
    <w:basedOn w:val="FootnoteTextChar"/>
    <w:link w:val="IsiTabel"/>
    <w:rsid w:val="009D643B"/>
    <w:rPr>
      <w:rFonts w:ascii="Garamond" w:eastAsiaTheme="minorEastAsia" w:hAnsi="Garamond" w:cs="Times New Roman"/>
      <w:color w:val="000000" w:themeColor="text1"/>
      <w:sz w:val="20"/>
      <w:szCs w:val="20"/>
    </w:rPr>
  </w:style>
  <w:style w:type="character" w:customStyle="1" w:styleId="NormalWebChar">
    <w:name w:val="Normal (Web) Char"/>
    <w:basedOn w:val="DefaultParagraphFont"/>
    <w:link w:val="NormalWeb"/>
    <w:uiPriority w:val="99"/>
    <w:rsid w:val="004E4304"/>
    <w:rPr>
      <w:rFonts w:ascii="Times New Roman" w:eastAsia="Times New Roman" w:hAnsi="Times New Roman" w:cs="Times New Roman"/>
      <w:sz w:val="24"/>
      <w:szCs w:val="24"/>
    </w:rPr>
  </w:style>
  <w:style w:type="paragraph" w:customStyle="1" w:styleId="Sub30">
    <w:name w:val="Sub 3"/>
    <w:basedOn w:val="Heading5"/>
    <w:link w:val="Sub3Char"/>
    <w:qFormat/>
    <w:rsid w:val="00795BB1"/>
    <w:pPr>
      <w:tabs>
        <w:tab w:val="num" w:pos="720"/>
      </w:tabs>
      <w:ind w:left="360" w:hanging="720"/>
    </w:pPr>
    <w:rPr>
      <w:rFonts w:ascii="Garamond" w:hAnsi="Garamond"/>
      <w:b/>
      <w:bCs/>
      <w:caps w:val="0"/>
      <w:color w:val="auto"/>
      <w:sz w:val="24"/>
      <w:szCs w:val="22"/>
    </w:rPr>
  </w:style>
  <w:style w:type="table" w:styleId="ListTable3-Accent6">
    <w:name w:val="List Table 3 Accent 6"/>
    <w:basedOn w:val="TableNormal"/>
    <w:uiPriority w:val="48"/>
    <w:rsid w:val="00A12700"/>
    <w:pPr>
      <w:spacing w:after="0" w:line="240" w:lineRule="auto"/>
    </w:pPr>
    <w:tblPr>
      <w:tblStyleRowBandSize w:val="1"/>
      <w:tblStyleColBandSize w:val="1"/>
      <w:tblBorders>
        <w:top w:val="single" w:sz="4" w:space="0" w:color="C17529" w:themeColor="accent6"/>
        <w:left w:val="single" w:sz="4" w:space="0" w:color="C17529" w:themeColor="accent6"/>
        <w:bottom w:val="single" w:sz="4" w:space="0" w:color="C17529" w:themeColor="accent6"/>
        <w:right w:val="single" w:sz="4" w:space="0" w:color="C17529" w:themeColor="accent6"/>
      </w:tblBorders>
    </w:tblPr>
    <w:tblStylePr w:type="firstRow">
      <w:rPr>
        <w:b/>
        <w:bCs/>
        <w:color w:val="FFFFFF" w:themeColor="background1"/>
      </w:rPr>
      <w:tblPr/>
      <w:tcPr>
        <w:shd w:val="clear" w:color="auto" w:fill="C17529" w:themeFill="accent6"/>
      </w:tcPr>
    </w:tblStylePr>
    <w:tblStylePr w:type="lastRow">
      <w:rPr>
        <w:b/>
        <w:bCs/>
      </w:rPr>
      <w:tblPr/>
      <w:tcPr>
        <w:tcBorders>
          <w:top w:val="double" w:sz="4" w:space="0" w:color="C1752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7529" w:themeColor="accent6"/>
          <w:right w:val="single" w:sz="4" w:space="0" w:color="C17529" w:themeColor="accent6"/>
        </w:tcBorders>
      </w:tcPr>
    </w:tblStylePr>
    <w:tblStylePr w:type="band1Horz">
      <w:tblPr/>
      <w:tcPr>
        <w:tcBorders>
          <w:top w:val="single" w:sz="4" w:space="0" w:color="C17529" w:themeColor="accent6"/>
          <w:bottom w:val="single" w:sz="4" w:space="0" w:color="C1752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7529" w:themeColor="accent6"/>
          <w:left w:val="nil"/>
        </w:tcBorders>
      </w:tcPr>
    </w:tblStylePr>
    <w:tblStylePr w:type="swCell">
      <w:tblPr/>
      <w:tcPr>
        <w:tcBorders>
          <w:top w:val="double" w:sz="4" w:space="0" w:color="C17529" w:themeColor="accent6"/>
          <w:right w:val="nil"/>
        </w:tcBorders>
      </w:tcPr>
    </w:tblStylePr>
  </w:style>
  <w:style w:type="character" w:customStyle="1" w:styleId="Sub3Char">
    <w:name w:val="Sub 3 Char"/>
    <w:basedOn w:val="Heading5Char"/>
    <w:link w:val="Sub30"/>
    <w:rsid w:val="00795BB1"/>
    <w:rPr>
      <w:rFonts w:ascii="Garamond" w:hAnsi="Garamond"/>
      <w:b/>
      <w:bCs/>
      <w:caps w:val="0"/>
      <w:color w:val="C77C0E" w:themeColor="accent1" w:themeShade="BF"/>
      <w:spacing w:val="10"/>
      <w:sz w:val="24"/>
      <w:szCs w:val="22"/>
    </w:rPr>
  </w:style>
  <w:style w:type="paragraph" w:customStyle="1" w:styleId="Isi">
    <w:name w:val="Isi"/>
    <w:basedOn w:val="Isi1"/>
    <w:link w:val="IsiChar"/>
    <w:qFormat/>
    <w:rsid w:val="00A12700"/>
  </w:style>
  <w:style w:type="table" w:styleId="ListTable3-Accent1">
    <w:name w:val="List Table 3 Accent 1"/>
    <w:basedOn w:val="TableNormal"/>
    <w:uiPriority w:val="48"/>
    <w:rsid w:val="000E1A7A"/>
    <w:pPr>
      <w:spacing w:after="0" w:line="240" w:lineRule="auto"/>
    </w:pPr>
    <w:tblPr>
      <w:tblStyleRowBandSize w:val="1"/>
      <w:tblStyleColBandSize w:val="1"/>
      <w:tblBorders>
        <w:top w:val="single" w:sz="4" w:space="0" w:color="F0A22E" w:themeColor="accent1"/>
        <w:left w:val="single" w:sz="4" w:space="0" w:color="F0A22E" w:themeColor="accent1"/>
        <w:bottom w:val="single" w:sz="4" w:space="0" w:color="F0A22E" w:themeColor="accent1"/>
        <w:right w:val="single" w:sz="4" w:space="0" w:color="F0A22E" w:themeColor="accent1"/>
      </w:tblBorders>
    </w:tblPr>
    <w:tblStylePr w:type="firstRow">
      <w:rPr>
        <w:b/>
        <w:bCs/>
        <w:color w:val="FFFFFF" w:themeColor="background1"/>
      </w:rPr>
      <w:tblPr/>
      <w:tcPr>
        <w:shd w:val="clear" w:color="auto" w:fill="F0A22E" w:themeFill="accent1"/>
      </w:tcPr>
    </w:tblStylePr>
    <w:tblStylePr w:type="lastRow">
      <w:rPr>
        <w:b/>
        <w:bCs/>
      </w:rPr>
      <w:tblPr/>
      <w:tcPr>
        <w:tcBorders>
          <w:top w:val="double" w:sz="4" w:space="0" w:color="F0A22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22E" w:themeColor="accent1"/>
          <w:right w:val="single" w:sz="4" w:space="0" w:color="F0A22E" w:themeColor="accent1"/>
        </w:tcBorders>
      </w:tcPr>
    </w:tblStylePr>
    <w:tblStylePr w:type="band1Horz">
      <w:tblPr/>
      <w:tcPr>
        <w:tcBorders>
          <w:top w:val="single" w:sz="4" w:space="0" w:color="F0A22E" w:themeColor="accent1"/>
          <w:bottom w:val="single" w:sz="4" w:space="0" w:color="F0A22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22E" w:themeColor="accent1"/>
          <w:left w:val="nil"/>
        </w:tcBorders>
      </w:tcPr>
    </w:tblStylePr>
    <w:tblStylePr w:type="swCell">
      <w:tblPr/>
      <w:tcPr>
        <w:tcBorders>
          <w:top w:val="double" w:sz="4" w:space="0" w:color="F0A22E" w:themeColor="accent1"/>
          <w:right w:val="nil"/>
        </w:tcBorders>
      </w:tcPr>
    </w:tblStylePr>
  </w:style>
  <w:style w:type="character" w:customStyle="1" w:styleId="IsiChar">
    <w:name w:val="Isi Char"/>
    <w:basedOn w:val="Isi1KAR"/>
    <w:link w:val="Isi"/>
    <w:rsid w:val="00A12700"/>
    <w:rPr>
      <w:rFonts w:ascii="Garamond" w:hAnsi="Garamond" w:cs="Times New Roman"/>
      <w:sz w:val="24"/>
      <w:lang w:val="id-ID"/>
    </w:rPr>
  </w:style>
  <w:style w:type="table" w:styleId="ListTable2-Accent6">
    <w:name w:val="List Table 2 Accent 6"/>
    <w:basedOn w:val="TableNormal"/>
    <w:uiPriority w:val="47"/>
    <w:rsid w:val="000E1A7A"/>
    <w:pPr>
      <w:spacing w:after="0" w:line="240" w:lineRule="auto"/>
    </w:pPr>
    <w:tblPr>
      <w:tblStyleRowBandSize w:val="1"/>
      <w:tblStyleColBandSize w:val="1"/>
      <w:tblBorders>
        <w:top w:val="single" w:sz="4" w:space="0" w:color="E2AB76" w:themeColor="accent6" w:themeTint="99"/>
        <w:bottom w:val="single" w:sz="4" w:space="0" w:color="E2AB76" w:themeColor="accent6" w:themeTint="99"/>
        <w:insideH w:val="single" w:sz="4" w:space="0" w:color="E2AB7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3D1" w:themeFill="accent6" w:themeFillTint="33"/>
      </w:tcPr>
    </w:tblStylePr>
    <w:tblStylePr w:type="band1Horz">
      <w:tblPr/>
      <w:tcPr>
        <w:shd w:val="clear" w:color="auto" w:fill="F5E3D1" w:themeFill="accent6" w:themeFillTint="33"/>
      </w:tcPr>
    </w:tblStylePr>
  </w:style>
  <w:style w:type="table" w:styleId="ListTable4-Accent6">
    <w:name w:val="List Table 4 Accent 6"/>
    <w:basedOn w:val="TableNormal"/>
    <w:uiPriority w:val="49"/>
    <w:rsid w:val="000E1A7A"/>
    <w:pPr>
      <w:spacing w:after="0" w:line="240" w:lineRule="auto"/>
    </w:pPr>
    <w:tblPr>
      <w:tblStyleRowBandSize w:val="1"/>
      <w:tblStyleColBandSize w:val="1"/>
      <w:tblBorders>
        <w:top w:val="single" w:sz="4" w:space="0" w:color="E2AB76" w:themeColor="accent6" w:themeTint="99"/>
        <w:left w:val="single" w:sz="4" w:space="0" w:color="E2AB76" w:themeColor="accent6" w:themeTint="99"/>
        <w:bottom w:val="single" w:sz="4" w:space="0" w:color="E2AB76" w:themeColor="accent6" w:themeTint="99"/>
        <w:right w:val="single" w:sz="4" w:space="0" w:color="E2AB76" w:themeColor="accent6" w:themeTint="99"/>
        <w:insideH w:val="single" w:sz="4" w:space="0" w:color="E2AB76" w:themeColor="accent6" w:themeTint="99"/>
      </w:tblBorders>
    </w:tblPr>
    <w:tblStylePr w:type="firstRow">
      <w:rPr>
        <w:b/>
        <w:bCs/>
        <w:color w:val="FFFFFF" w:themeColor="background1"/>
      </w:rPr>
      <w:tblPr/>
      <w:tcPr>
        <w:tcBorders>
          <w:top w:val="single" w:sz="4" w:space="0" w:color="C17529" w:themeColor="accent6"/>
          <w:left w:val="single" w:sz="4" w:space="0" w:color="C17529" w:themeColor="accent6"/>
          <w:bottom w:val="single" w:sz="4" w:space="0" w:color="C17529" w:themeColor="accent6"/>
          <w:right w:val="single" w:sz="4" w:space="0" w:color="C17529" w:themeColor="accent6"/>
          <w:insideH w:val="nil"/>
        </w:tcBorders>
        <w:shd w:val="clear" w:color="auto" w:fill="C17529" w:themeFill="accent6"/>
      </w:tcPr>
    </w:tblStylePr>
    <w:tblStylePr w:type="lastRow">
      <w:rPr>
        <w:b/>
        <w:bCs/>
      </w:rPr>
      <w:tblPr/>
      <w:tcPr>
        <w:tcBorders>
          <w:top w:val="double" w:sz="4" w:space="0" w:color="E2AB76" w:themeColor="accent6" w:themeTint="99"/>
        </w:tcBorders>
      </w:tcPr>
    </w:tblStylePr>
    <w:tblStylePr w:type="firstCol">
      <w:rPr>
        <w:b/>
        <w:bCs/>
      </w:rPr>
    </w:tblStylePr>
    <w:tblStylePr w:type="lastCol">
      <w:rPr>
        <w:b/>
        <w:bCs/>
      </w:rPr>
    </w:tblStylePr>
    <w:tblStylePr w:type="band1Vert">
      <w:tblPr/>
      <w:tcPr>
        <w:shd w:val="clear" w:color="auto" w:fill="F5E3D1" w:themeFill="accent6" w:themeFillTint="33"/>
      </w:tcPr>
    </w:tblStylePr>
    <w:tblStylePr w:type="band1Horz">
      <w:tblPr/>
      <w:tcPr>
        <w:shd w:val="clear" w:color="auto" w:fill="F5E3D1" w:themeFill="accent6" w:themeFillTint="33"/>
      </w:tcPr>
    </w:tblStylePr>
  </w:style>
  <w:style w:type="table" w:styleId="PlainTable1">
    <w:name w:val="Plain Table 1"/>
    <w:basedOn w:val="TableNormal"/>
    <w:uiPriority w:val="41"/>
    <w:rsid w:val="000E1A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0E1A7A"/>
    <w:pPr>
      <w:spacing w:after="0" w:line="240" w:lineRule="auto"/>
    </w:pPr>
    <w:tblPr>
      <w:tblStyleRowBandSize w:val="1"/>
      <w:tblStyleColBandSize w:val="1"/>
      <w:tblBorders>
        <w:top w:val="single" w:sz="4" w:space="0" w:color="F9D9AB" w:themeColor="accent1" w:themeTint="66"/>
        <w:left w:val="single" w:sz="4" w:space="0" w:color="F9D9AB" w:themeColor="accent1" w:themeTint="66"/>
        <w:bottom w:val="single" w:sz="4" w:space="0" w:color="F9D9AB" w:themeColor="accent1" w:themeTint="66"/>
        <w:right w:val="single" w:sz="4" w:space="0" w:color="F9D9AB" w:themeColor="accent1" w:themeTint="66"/>
        <w:insideH w:val="single" w:sz="4" w:space="0" w:color="F9D9AB" w:themeColor="accent1" w:themeTint="66"/>
        <w:insideV w:val="single" w:sz="4" w:space="0" w:color="F9D9AB" w:themeColor="accent1" w:themeTint="66"/>
      </w:tblBorders>
    </w:tblPr>
    <w:tblStylePr w:type="firstRow">
      <w:rPr>
        <w:b/>
        <w:bCs/>
      </w:rPr>
      <w:tblPr/>
      <w:tcPr>
        <w:tcBorders>
          <w:bottom w:val="single" w:sz="12" w:space="0" w:color="F6C681" w:themeColor="accent1" w:themeTint="99"/>
        </w:tcBorders>
      </w:tcPr>
    </w:tblStylePr>
    <w:tblStylePr w:type="lastRow">
      <w:rPr>
        <w:b/>
        <w:bCs/>
      </w:rPr>
      <w:tblPr/>
      <w:tcPr>
        <w:tcBorders>
          <w:top w:val="double" w:sz="2" w:space="0" w:color="F6C681"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E1A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Normal"/>
    <w:link w:val="TabelChar"/>
    <w:qFormat/>
    <w:rsid w:val="00CC1DAC"/>
    <w:pPr>
      <w:framePr w:hSpace="180" w:wrap="around" w:vAnchor="text" w:hAnchor="margin" w:y="503"/>
      <w:spacing w:after="0" w:line="240" w:lineRule="auto"/>
      <w:jc w:val="center"/>
    </w:pPr>
    <w:rPr>
      <w:rFonts w:ascii="Garamond" w:hAnsi="Garamond"/>
      <w:b/>
      <w:bCs/>
    </w:rPr>
  </w:style>
  <w:style w:type="paragraph" w:customStyle="1" w:styleId="NamaComplementer">
    <w:name w:val="Nama Complementer"/>
    <w:basedOn w:val="Normal"/>
    <w:link w:val="NamaComplementerChar"/>
    <w:qFormat/>
    <w:rsid w:val="00CC1DAC"/>
    <w:pPr>
      <w:keepNext/>
      <w:spacing w:after="120"/>
      <w:jc w:val="center"/>
      <w:outlineLvl w:val="0"/>
    </w:pPr>
    <w:rPr>
      <w:rFonts w:ascii="Garamond" w:hAnsi="Garamond"/>
      <w:b/>
      <w:color w:val="C17529" w:themeColor="accent6"/>
      <w:lang w:eastAsia="x-none"/>
    </w:rPr>
  </w:style>
  <w:style w:type="character" w:customStyle="1" w:styleId="TabelChar">
    <w:name w:val="Tabel Char"/>
    <w:basedOn w:val="DefaultParagraphFont"/>
    <w:link w:val="Tabel"/>
    <w:rsid w:val="00CC1DAC"/>
    <w:rPr>
      <w:rFonts w:ascii="Garamond" w:hAnsi="Garamond"/>
      <w:b/>
      <w:bCs/>
    </w:rPr>
  </w:style>
  <w:style w:type="paragraph" w:customStyle="1" w:styleId="sumbercomplementer">
    <w:name w:val="sumber complementer"/>
    <w:basedOn w:val="Normal"/>
    <w:link w:val="sumbercomplementerChar"/>
    <w:qFormat/>
    <w:rsid w:val="00CC1DAC"/>
    <w:pPr>
      <w:jc w:val="center"/>
    </w:pPr>
    <w:rPr>
      <w:rFonts w:ascii="Garamond" w:hAnsi="Garamond"/>
      <w:bCs/>
      <w:color w:val="0D0D0D"/>
      <w:sz w:val="16"/>
    </w:rPr>
  </w:style>
  <w:style w:type="character" w:customStyle="1" w:styleId="NamaComplementerChar">
    <w:name w:val="Nama Complementer Char"/>
    <w:basedOn w:val="DefaultParagraphFont"/>
    <w:link w:val="NamaComplementer"/>
    <w:rsid w:val="00CC1DAC"/>
    <w:rPr>
      <w:rFonts w:ascii="Garamond" w:eastAsia="Calibri" w:hAnsi="Garamond"/>
      <w:b/>
      <w:color w:val="C17529" w:themeColor="accent6"/>
      <w:lang w:val="id-ID" w:eastAsia="x-none"/>
    </w:rPr>
  </w:style>
  <w:style w:type="paragraph" w:customStyle="1" w:styleId="Isi20">
    <w:name w:val="Isi 2"/>
    <w:basedOn w:val="Isi"/>
    <w:link w:val="Isi2Char"/>
    <w:qFormat/>
    <w:rsid w:val="00F571DA"/>
    <w:pPr>
      <w:ind w:left="-450"/>
    </w:pPr>
  </w:style>
  <w:style w:type="character" w:customStyle="1" w:styleId="sumbercomplementerChar">
    <w:name w:val="sumber complementer Char"/>
    <w:basedOn w:val="DefaultParagraphFont"/>
    <w:link w:val="sumbercomplementer"/>
    <w:rsid w:val="00CC1DAC"/>
    <w:rPr>
      <w:rFonts w:ascii="Garamond" w:hAnsi="Garamond"/>
      <w:bCs/>
      <w:color w:val="0D0D0D"/>
      <w:sz w:val="16"/>
      <w:lang w:val="id-ID"/>
    </w:rPr>
  </w:style>
  <w:style w:type="paragraph" w:customStyle="1" w:styleId="Volume">
    <w:name w:val="Volume"/>
    <w:basedOn w:val="NoSpacing"/>
    <w:link w:val="VolumeChar"/>
    <w:qFormat/>
    <w:rsid w:val="00C83AD3"/>
    <w:rPr>
      <w:rFonts w:ascii="Garamond" w:hAnsi="Garamond"/>
    </w:rPr>
  </w:style>
  <w:style w:type="character" w:customStyle="1" w:styleId="Isi2Char">
    <w:name w:val="Isi 2 Char"/>
    <w:basedOn w:val="IsiChar"/>
    <w:link w:val="Isi20"/>
    <w:rsid w:val="00F571DA"/>
    <w:rPr>
      <w:rFonts w:ascii="Garamond" w:hAnsi="Garamond" w:cs="Times New Roman"/>
      <w:sz w:val="24"/>
      <w:lang w:val="id-ID"/>
    </w:rPr>
  </w:style>
  <w:style w:type="character" w:customStyle="1" w:styleId="VolumeChar">
    <w:name w:val="Volume Char"/>
    <w:basedOn w:val="NoSpacingChar"/>
    <w:link w:val="Volume"/>
    <w:rsid w:val="00C83AD3"/>
    <w:rPr>
      <w:rFonts w:ascii="Garamond" w:hAnsi="Garamond"/>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gle.com/search?q=https://doi.org/10.1108/AAAJ-08-2018-3632" TargetMode="External"/><Relationship Id="rId18" Type="http://schemas.openxmlformats.org/officeDocument/2006/relationships/hyperlink" Target="https://www.google.com/search?q=https://doi.org/10.1016/j.techsoc.2022.102189" TargetMode="External"/><Relationship Id="rId26" Type="http://schemas.openxmlformats.org/officeDocument/2006/relationships/hyperlink" Target="https://www.google.com/search?q=https://doi.org/10.1177/0266666916668902" TargetMode="External"/><Relationship Id="rId39" Type="http://schemas.openxmlformats.org/officeDocument/2006/relationships/hyperlink" Target="https://doi.org/10.2991/978-2-38476-164-7_111" TargetMode="External"/><Relationship Id="rId21" Type="http://schemas.openxmlformats.org/officeDocument/2006/relationships/hyperlink" Target="https://doi.org/10.3390/su13041904" TargetMode="External"/><Relationship Id="rId34" Type="http://schemas.openxmlformats.org/officeDocument/2006/relationships/hyperlink" Target="https://www.google.com/search?q=https://doi.org/10.1016/j.jretconser.2022.103021"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08/17538391011072417" TargetMode="External"/><Relationship Id="rId29" Type="http://schemas.openxmlformats.org/officeDocument/2006/relationships/hyperlink" Target="https://www.google.com/search?q=https://doi.org/10.1080/15309576.2015.10258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917/jep.v20i2.6757" TargetMode="External"/><Relationship Id="rId24" Type="http://schemas.openxmlformats.org/officeDocument/2006/relationships/hyperlink" Target="https://doi.org/10.1108/AGJSR-04-2022-0017" TargetMode="External"/><Relationship Id="rId32" Type="http://schemas.openxmlformats.org/officeDocument/2006/relationships/hyperlink" Target="https://doi.org/10.3390/admsci12040190" TargetMode="External"/><Relationship Id="rId37" Type="http://schemas.openxmlformats.org/officeDocument/2006/relationships/hyperlink" Target="https://doi.org/10.58470/wasathiyyah.v4i2.32"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1356-024-32418-7" TargetMode="External"/><Relationship Id="rId23" Type="http://schemas.openxmlformats.org/officeDocument/2006/relationships/hyperlink" Target="https://www.google.com/search?q=https://doi.org/10.1016/S0363-8111(00)00038-0" TargetMode="External"/><Relationship Id="rId28" Type="http://schemas.openxmlformats.org/officeDocument/2006/relationships/hyperlink" Target="https://www.google.com/search?q=https://doi.org/10.1016/j.giq.2021.101650" TargetMode="External"/><Relationship Id="rId36" Type="http://schemas.openxmlformats.org/officeDocument/2006/relationships/hyperlink" Target="https://www.google.com/search?q=https://doi.org/10.1007/s10551-020-04512-x" TargetMode="External"/><Relationship Id="rId10" Type="http://schemas.openxmlformats.org/officeDocument/2006/relationships/hyperlink" Target="https://www.google.com/search?q=https://doi.org/10.1002/csr.1290" TargetMode="External"/><Relationship Id="rId19" Type="http://schemas.openxmlformats.org/officeDocument/2006/relationships/hyperlink" Target="https://www.google.com/search?q=https://doi.org/10.1002/pa.2078" TargetMode="External"/><Relationship Id="rId31" Type="http://schemas.openxmlformats.org/officeDocument/2006/relationships/hyperlink" Target="https://doi.org/10.3390/su802017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search?q=https://doi.org/10.1080/15332691.2023.2189012" TargetMode="External"/><Relationship Id="rId14" Type="http://schemas.openxmlformats.org/officeDocument/2006/relationships/hyperlink" Target="https://www.google.com/search?q=https://doi.org/10.1016/j.jbusres.2021.05.044" TargetMode="External"/><Relationship Id="rId22" Type="http://schemas.openxmlformats.org/officeDocument/2006/relationships/hyperlink" Target="https://www.google.com/search?q=https://doi.org/10.1016/j.indmarman.2022.12.015" TargetMode="External"/><Relationship Id="rId27" Type="http://schemas.openxmlformats.org/officeDocument/2006/relationships/hyperlink" Target="https://www.google.com/search?q=https://doi.org/10.5897/JMCS2022.0765" TargetMode="External"/><Relationship Id="rId30" Type="http://schemas.openxmlformats.org/officeDocument/2006/relationships/hyperlink" Target="https://www.google.com/search?q=https://doi.org/10.4018/JEGR.2019040106" TargetMode="External"/><Relationship Id="rId35" Type="http://schemas.openxmlformats.org/officeDocument/2006/relationships/hyperlink" Target="https://www.google.com/search?q=https://doi.org/10.1108/CCIJ-09-2022-0105" TargetMode="External"/><Relationship Id="rId43" Type="http://schemas.openxmlformats.org/officeDocument/2006/relationships/footer" Target="footer3.xml"/><Relationship Id="rId8" Type="http://schemas.openxmlformats.org/officeDocument/2006/relationships/hyperlink" Target="https://www.google.com/search?q=https://doi.org/10.1016/j.intmar.2017.04.002" TargetMode="External"/><Relationship Id="rId3" Type="http://schemas.openxmlformats.org/officeDocument/2006/relationships/styles" Target="styles.xml"/><Relationship Id="rId12" Type="http://schemas.openxmlformats.org/officeDocument/2006/relationships/hyperlink" Target="https://doi.org/10.2307/249008" TargetMode="External"/><Relationship Id="rId17" Type="http://schemas.openxmlformats.org/officeDocument/2006/relationships/hyperlink" Target="https://doi.org/10.29240/alfalah.v6i1.2904" TargetMode="External"/><Relationship Id="rId25" Type="http://schemas.openxmlformats.org/officeDocument/2006/relationships/hyperlink" Target="https://www.google.com/search?q=https://doi.org/10.1007/s002679900138" TargetMode="External"/><Relationship Id="rId33" Type="http://schemas.openxmlformats.org/officeDocument/2006/relationships/hyperlink" Target="https://doi.org/10.1007/s10668-021-01426-9" TargetMode="External"/><Relationship Id="rId38" Type="http://schemas.openxmlformats.org/officeDocument/2006/relationships/hyperlink" Target="https://www.google.com/search?q=https://doi.org/10.2307/30036540" TargetMode="External"/><Relationship Id="rId20" Type="http://schemas.openxmlformats.org/officeDocument/2006/relationships/hyperlink" Target="https://www.google.com/search?q=https://doi.org/10.21009/jdmc.v9i1.21890"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YygnxJelYB180HT2IdrLrunsA==">CgMxLjAyCGguZ2pkZ3hzMgloLjMwajB6bGwyCWguMWZvYjl0ZTIJaC4zem55c2g3MgloLjJldDkycDAyCGgudHlqY3d0MgloLjNkeTZ2a20yCWguMXQzaDVzZjgAciExRl84TVUzYUloR2FnckFyN2FOMUZKOGxPTnl4eDdJOUk=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Template Journal PJDM</Template>
  <TotalTime>34</TotalTime>
  <Pages>10</Pages>
  <Words>5206</Words>
  <Characters>29678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Journal Asia Education</dc:creator>
  <cp:lastModifiedBy>Journal Asia Education</cp:lastModifiedBy>
  <cp:revision>1</cp:revision>
  <dcterms:created xsi:type="dcterms:W3CDTF">2026-08-01T11:16:00Z</dcterms:created>
  <dcterms:modified xsi:type="dcterms:W3CDTF">2026-08-01T12:07:00Z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cc0f3641-866a-4f57-a102-b654caf51406</vt:lpwstr>
  </property>
</Properties>
</file>